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41" w:rsidRPr="006E5108" w:rsidRDefault="008676D2" w:rsidP="008C01BB">
      <w:pPr>
        <w:spacing w:after="0" w:line="360" w:lineRule="auto"/>
        <w:jc w:val="both"/>
        <w:rPr>
          <w:rFonts w:ascii="Palatino Linotype" w:eastAsia="Calibri" w:hAnsi="Palatino Linotype" w:cs="Arial"/>
          <w:b/>
          <w:bCs/>
          <w:sz w:val="24"/>
          <w:szCs w:val="24"/>
          <w:lang w:eastAsia="es-MX"/>
        </w:rPr>
      </w:pPr>
      <w:r>
        <w:rPr>
          <w:rFonts w:ascii="Palatino Linotype" w:eastAsia="Calibri" w:hAnsi="Palatino Linotype" w:cs="Arial"/>
          <w:b/>
          <w:sz w:val="24"/>
          <w:szCs w:val="24"/>
        </w:rPr>
        <w:t xml:space="preserve">VOTO </w:t>
      </w:r>
      <w:r w:rsidR="003F3341" w:rsidRPr="006E5108">
        <w:rPr>
          <w:rFonts w:ascii="Palatino Linotype" w:eastAsia="Calibri" w:hAnsi="Palatino Linotype" w:cs="Arial"/>
          <w:b/>
          <w:sz w:val="24"/>
          <w:szCs w:val="24"/>
        </w:rPr>
        <w:t xml:space="preserve">PARTICULAR DEL COMISIONADO JOSÉ GUADALUPE LUNA HERNÁNDEZ EN EL RECURSO DE REVISIÓN </w:t>
      </w:r>
      <w:r>
        <w:rPr>
          <w:rFonts w:ascii="Palatino Linotype" w:hAnsi="Palatino Linotype"/>
          <w:b/>
          <w:sz w:val="24"/>
          <w:szCs w:val="24"/>
        </w:rPr>
        <w:t>03184</w:t>
      </w:r>
      <w:r w:rsidR="001A67CD" w:rsidRPr="006E5108">
        <w:rPr>
          <w:rFonts w:ascii="Palatino Linotype" w:hAnsi="Palatino Linotype" w:cs="Arial"/>
          <w:b/>
          <w:bCs/>
          <w:sz w:val="24"/>
          <w:szCs w:val="24"/>
        </w:rPr>
        <w:t>/INFOEM/IP/RR/2018</w:t>
      </w:r>
      <w:r w:rsidR="003F3341" w:rsidRPr="006E5108">
        <w:rPr>
          <w:rFonts w:ascii="Palatino Linotype" w:hAnsi="Palatino Linotype"/>
          <w:sz w:val="24"/>
          <w:szCs w:val="24"/>
        </w:rPr>
        <w:t>.</w:t>
      </w:r>
    </w:p>
    <w:p w:rsidR="003F3341" w:rsidRPr="006E5108" w:rsidRDefault="003F3341" w:rsidP="008C01BB">
      <w:pPr>
        <w:spacing w:after="0" w:line="360" w:lineRule="auto"/>
        <w:jc w:val="both"/>
        <w:rPr>
          <w:rFonts w:ascii="Palatino Linotype" w:eastAsia="Calibri" w:hAnsi="Palatino Linotype" w:cs="Arial"/>
          <w:sz w:val="24"/>
          <w:szCs w:val="24"/>
        </w:rPr>
      </w:pPr>
    </w:p>
    <w:p w:rsidR="003F3341" w:rsidRDefault="00CB1C23" w:rsidP="00CB1C23">
      <w:pPr>
        <w:spacing w:before="240" w:after="240" w:line="360" w:lineRule="auto"/>
        <w:jc w:val="both"/>
        <w:rPr>
          <w:rFonts w:ascii="Palatino Linotype" w:eastAsia="Times New Roman" w:hAnsi="Palatino Linotype" w:cs="Times New Roman"/>
          <w:noProof/>
          <w:sz w:val="24"/>
          <w:szCs w:val="24"/>
          <w:lang w:eastAsia="es-ES"/>
        </w:rPr>
      </w:pPr>
      <w:r>
        <w:rPr>
          <w:rFonts w:ascii="Palatino Linotype" w:eastAsia="Times New Roman" w:hAnsi="Palatino Linotype" w:cs="Times New Roman"/>
          <w:b/>
          <w:noProof/>
          <w:sz w:val="24"/>
          <w:szCs w:val="24"/>
          <w:lang w:eastAsia="es-ES"/>
        </w:rPr>
        <w:t>Deberes d</w:t>
      </w:r>
      <w:r w:rsidRPr="004654D5">
        <w:rPr>
          <w:rFonts w:ascii="Palatino Linotype" w:eastAsia="Times New Roman" w:hAnsi="Palatino Linotype" w:cs="Times New Roman"/>
          <w:b/>
          <w:noProof/>
          <w:sz w:val="24"/>
          <w:szCs w:val="24"/>
          <w:lang w:eastAsia="es-ES"/>
        </w:rPr>
        <w:t>e Las Autoridades</w:t>
      </w:r>
      <w:r w:rsidR="004654D5" w:rsidRPr="004654D5">
        <w:rPr>
          <w:rFonts w:ascii="Palatino Linotype" w:eastAsia="Times New Roman" w:hAnsi="Palatino Linotype" w:cs="Times New Roman"/>
          <w:b/>
          <w:noProof/>
          <w:sz w:val="24"/>
          <w:szCs w:val="24"/>
          <w:lang w:eastAsia="es-ES"/>
        </w:rPr>
        <w:t>.</w:t>
      </w:r>
      <w:r w:rsidR="004654D5" w:rsidRPr="004654D5">
        <w:rPr>
          <w:rFonts w:ascii="Palatino Linotype" w:eastAsia="Times New Roman" w:hAnsi="Palatino Linotype" w:cs="Times New Roman"/>
          <w:noProof/>
          <w:sz w:val="24"/>
          <w:szCs w:val="24"/>
          <w:lang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CB1C23" w:rsidRPr="00CB1C23" w:rsidRDefault="00CB1C23" w:rsidP="00CB1C23">
      <w:pPr>
        <w:spacing w:before="240" w:after="240" w:line="360" w:lineRule="auto"/>
        <w:jc w:val="both"/>
        <w:rPr>
          <w:rFonts w:ascii="Palatino Linotype" w:eastAsia="Times New Roman" w:hAnsi="Palatino Linotype" w:cs="Times New Roman"/>
          <w:noProof/>
          <w:sz w:val="24"/>
          <w:szCs w:val="24"/>
          <w:lang w:eastAsia="es-ES"/>
        </w:rPr>
      </w:pPr>
    </w:p>
    <w:p w:rsidR="003F3341" w:rsidRPr="006E5108" w:rsidRDefault="006E5108" w:rsidP="006E5108">
      <w:pPr>
        <w:keepNext/>
        <w:keepLines/>
        <w:spacing w:before="240" w:after="0" w:line="360" w:lineRule="auto"/>
        <w:jc w:val="center"/>
        <w:rPr>
          <w:rFonts w:ascii="Palatino Linotype" w:eastAsiaTheme="majorEastAsia" w:hAnsi="Palatino Linotype" w:cs="Arial"/>
          <w:sz w:val="24"/>
          <w:szCs w:val="24"/>
          <w:lang w:eastAsia="es-MX"/>
        </w:rPr>
      </w:pPr>
      <w:r w:rsidRPr="006E5108">
        <w:rPr>
          <w:rFonts w:ascii="Palatino Linotype" w:eastAsiaTheme="majorEastAsia" w:hAnsi="Palatino Linotype" w:cs="Arial"/>
          <w:b/>
          <w:sz w:val="24"/>
          <w:szCs w:val="24"/>
          <w:lang w:eastAsia="es-MX"/>
        </w:rPr>
        <w:t>ÍNDICE.</w:t>
      </w:r>
    </w:p>
    <w:sdt>
      <w:sdtPr>
        <w:rPr>
          <w:rFonts w:ascii="Palatino Linotype" w:eastAsiaTheme="minorHAnsi" w:hAnsi="Palatino Linotype" w:cstheme="minorBidi"/>
          <w:sz w:val="24"/>
          <w:szCs w:val="24"/>
          <w:lang w:val="es-ES" w:eastAsia="en-US"/>
        </w:rPr>
        <w:id w:val="-1628690016"/>
        <w:docPartObj>
          <w:docPartGallery w:val="Table of Contents"/>
          <w:docPartUnique/>
        </w:docPartObj>
      </w:sdtPr>
      <w:sdtEndPr>
        <w:rPr>
          <w:bCs/>
        </w:rPr>
      </w:sdtEndPr>
      <w:sdtContent>
        <w:p w:rsidR="006E5108" w:rsidRDefault="003F3341">
          <w:pPr>
            <w:pStyle w:val="TDC1"/>
            <w:tabs>
              <w:tab w:val="left" w:pos="440"/>
              <w:tab w:val="right" w:leader="dot" w:pos="8828"/>
            </w:tabs>
            <w:rPr>
              <w:rFonts w:cstheme="minorBidi"/>
              <w:noProof/>
            </w:rPr>
          </w:pPr>
          <w:r w:rsidRPr="006E5108">
            <w:rPr>
              <w:rFonts w:ascii="Palatino Linotype" w:hAnsi="Palatino Linotype"/>
              <w:noProof/>
              <w:sz w:val="24"/>
              <w:szCs w:val="24"/>
            </w:rPr>
            <w:fldChar w:fldCharType="begin"/>
          </w:r>
          <w:r w:rsidRPr="006E5108">
            <w:rPr>
              <w:rFonts w:ascii="Palatino Linotype" w:hAnsi="Palatino Linotype"/>
              <w:b/>
              <w:noProof/>
              <w:sz w:val="24"/>
              <w:szCs w:val="24"/>
            </w:rPr>
            <w:instrText xml:space="preserve"> TOC \o "1-3" \h \z \u </w:instrText>
          </w:r>
          <w:r w:rsidRPr="006E5108">
            <w:rPr>
              <w:rFonts w:ascii="Palatino Linotype" w:hAnsi="Palatino Linotype"/>
              <w:noProof/>
              <w:sz w:val="24"/>
              <w:szCs w:val="24"/>
            </w:rPr>
            <w:fldChar w:fldCharType="separate"/>
          </w:r>
          <w:hyperlink w:anchor="_Toc524960002" w:history="1">
            <w:r w:rsidR="006E5108" w:rsidRPr="00B42D48">
              <w:rPr>
                <w:rStyle w:val="Hipervnculo"/>
                <w:rFonts w:ascii="Palatino Linotype" w:eastAsia="Times New Roman" w:hAnsi="Palatino Linotype" w:cstheme="majorBidi"/>
                <w:b/>
                <w:noProof/>
              </w:rPr>
              <w:t>I.</w:t>
            </w:r>
            <w:r w:rsidR="006E5108">
              <w:rPr>
                <w:rFonts w:cstheme="minorBidi"/>
                <w:noProof/>
              </w:rPr>
              <w:tab/>
            </w:r>
            <w:r w:rsidR="006E5108" w:rsidRPr="00B42D48">
              <w:rPr>
                <w:rStyle w:val="Hipervnculo"/>
                <w:rFonts w:ascii="Palatino Linotype" w:eastAsia="Times New Roman" w:hAnsi="Palatino Linotype" w:cstheme="majorBidi"/>
                <w:b/>
                <w:noProof/>
              </w:rPr>
              <w:t>Consideraciones Generales</w:t>
            </w:r>
            <w:r w:rsidR="006E5108">
              <w:rPr>
                <w:noProof/>
                <w:webHidden/>
              </w:rPr>
              <w:tab/>
            </w:r>
            <w:r w:rsidR="006E5108">
              <w:rPr>
                <w:noProof/>
                <w:webHidden/>
              </w:rPr>
              <w:fldChar w:fldCharType="begin"/>
            </w:r>
            <w:r w:rsidR="006E5108">
              <w:rPr>
                <w:noProof/>
                <w:webHidden/>
              </w:rPr>
              <w:instrText xml:space="preserve"> PAGEREF _Toc524960002 \h </w:instrText>
            </w:r>
            <w:r w:rsidR="006E5108">
              <w:rPr>
                <w:noProof/>
                <w:webHidden/>
              </w:rPr>
            </w:r>
            <w:r w:rsidR="006E5108">
              <w:rPr>
                <w:noProof/>
                <w:webHidden/>
              </w:rPr>
              <w:fldChar w:fldCharType="separate"/>
            </w:r>
            <w:r w:rsidR="00A9078E">
              <w:rPr>
                <w:noProof/>
                <w:webHidden/>
              </w:rPr>
              <w:t>1</w:t>
            </w:r>
            <w:r w:rsidR="006E5108">
              <w:rPr>
                <w:noProof/>
                <w:webHidden/>
              </w:rPr>
              <w:fldChar w:fldCharType="end"/>
            </w:r>
          </w:hyperlink>
        </w:p>
        <w:p w:rsidR="006E5108" w:rsidRDefault="00B71AC1">
          <w:pPr>
            <w:pStyle w:val="TDC1"/>
            <w:tabs>
              <w:tab w:val="left" w:pos="660"/>
              <w:tab w:val="right" w:leader="dot" w:pos="8828"/>
            </w:tabs>
            <w:rPr>
              <w:rFonts w:cstheme="minorBidi"/>
              <w:noProof/>
            </w:rPr>
          </w:pPr>
          <w:hyperlink w:anchor="_Toc524960003" w:history="1">
            <w:r w:rsidR="006E5108" w:rsidRPr="00B42D48">
              <w:rPr>
                <w:rStyle w:val="Hipervnculo"/>
                <w:rFonts w:ascii="Palatino Linotype" w:eastAsia="Calibri" w:hAnsi="Palatino Linotype" w:cstheme="majorBidi"/>
                <w:b/>
                <w:noProof/>
                <w:lang w:val="es-ES"/>
              </w:rPr>
              <w:t>II.</w:t>
            </w:r>
            <w:r w:rsidR="006E5108">
              <w:rPr>
                <w:rFonts w:cstheme="minorBidi"/>
                <w:noProof/>
              </w:rPr>
              <w:tab/>
            </w:r>
            <w:r w:rsidR="006E5108" w:rsidRPr="00B42D48">
              <w:rPr>
                <w:rStyle w:val="Hipervnculo"/>
                <w:rFonts w:ascii="Palatino Linotype" w:eastAsia="Calibri" w:hAnsi="Palatino Linotype" w:cstheme="majorBidi"/>
                <w:b/>
                <w:noProof/>
                <w:lang w:val="es-ES"/>
              </w:rPr>
              <w:t>De los requerimientos planteados en el recurso de revisión.</w:t>
            </w:r>
            <w:r w:rsidR="006E5108">
              <w:rPr>
                <w:noProof/>
                <w:webHidden/>
              </w:rPr>
              <w:tab/>
            </w:r>
            <w:r w:rsidR="006E5108">
              <w:rPr>
                <w:noProof/>
                <w:webHidden/>
              </w:rPr>
              <w:fldChar w:fldCharType="begin"/>
            </w:r>
            <w:r w:rsidR="006E5108">
              <w:rPr>
                <w:noProof/>
                <w:webHidden/>
              </w:rPr>
              <w:instrText xml:space="preserve"> PAGEREF _Toc524960003 \h </w:instrText>
            </w:r>
            <w:r w:rsidR="006E5108">
              <w:rPr>
                <w:noProof/>
                <w:webHidden/>
              </w:rPr>
            </w:r>
            <w:r w:rsidR="006E5108">
              <w:rPr>
                <w:noProof/>
                <w:webHidden/>
              </w:rPr>
              <w:fldChar w:fldCharType="separate"/>
            </w:r>
            <w:r w:rsidR="00A9078E">
              <w:rPr>
                <w:noProof/>
                <w:webHidden/>
              </w:rPr>
              <w:t>2</w:t>
            </w:r>
            <w:r w:rsidR="006E5108">
              <w:rPr>
                <w:noProof/>
                <w:webHidden/>
              </w:rPr>
              <w:fldChar w:fldCharType="end"/>
            </w:r>
          </w:hyperlink>
        </w:p>
        <w:p w:rsidR="006E5108" w:rsidRDefault="00B71AC1">
          <w:pPr>
            <w:pStyle w:val="TDC2"/>
            <w:rPr>
              <w:rFonts w:eastAsiaTheme="minorEastAsia"/>
              <w:noProof/>
              <w:lang w:eastAsia="es-MX"/>
            </w:rPr>
          </w:pPr>
          <w:hyperlink w:anchor="_Toc524960004" w:history="1">
            <w:r w:rsidR="006E5108" w:rsidRPr="00B42D48">
              <w:rPr>
                <w:rStyle w:val="Hipervnculo"/>
                <w:rFonts w:ascii="Palatino Linotype" w:eastAsiaTheme="majorEastAsia" w:hAnsi="Palatino Linotype" w:cstheme="majorBidi"/>
                <w:b/>
                <w:noProof/>
              </w:rPr>
              <w:t>III. Del Derecho de acceso a la información pública como forma de rendición de cuentas</w:t>
            </w:r>
            <w:r w:rsidR="006E5108">
              <w:rPr>
                <w:rStyle w:val="Hipervnculo"/>
                <w:rFonts w:ascii="Palatino Linotype" w:eastAsiaTheme="majorEastAsia" w:hAnsi="Palatino Linotype" w:cstheme="majorBidi"/>
                <w:b/>
                <w:noProof/>
              </w:rPr>
              <w:t>…</w:t>
            </w:r>
            <w:r w:rsidR="006E5108">
              <w:rPr>
                <w:noProof/>
                <w:webHidden/>
              </w:rPr>
              <w:t>……………………………………………………………………………………………………………………………………..</w:t>
            </w:r>
            <w:r w:rsidR="006E5108">
              <w:rPr>
                <w:noProof/>
                <w:webHidden/>
              </w:rPr>
              <w:fldChar w:fldCharType="begin"/>
            </w:r>
            <w:r w:rsidR="006E5108">
              <w:rPr>
                <w:noProof/>
                <w:webHidden/>
              </w:rPr>
              <w:instrText xml:space="preserve"> PAGEREF _Toc524960004 \h </w:instrText>
            </w:r>
            <w:r w:rsidR="006E5108">
              <w:rPr>
                <w:noProof/>
                <w:webHidden/>
              </w:rPr>
            </w:r>
            <w:r w:rsidR="006E5108">
              <w:rPr>
                <w:noProof/>
                <w:webHidden/>
              </w:rPr>
              <w:fldChar w:fldCharType="separate"/>
            </w:r>
            <w:r w:rsidR="00A9078E">
              <w:rPr>
                <w:noProof/>
                <w:webHidden/>
              </w:rPr>
              <w:t>17</w:t>
            </w:r>
            <w:r w:rsidR="006E5108">
              <w:rPr>
                <w:noProof/>
                <w:webHidden/>
              </w:rPr>
              <w:fldChar w:fldCharType="end"/>
            </w:r>
          </w:hyperlink>
        </w:p>
        <w:p w:rsidR="006E5108" w:rsidRDefault="00B71AC1">
          <w:pPr>
            <w:pStyle w:val="TDC1"/>
            <w:tabs>
              <w:tab w:val="right" w:leader="dot" w:pos="8828"/>
            </w:tabs>
            <w:rPr>
              <w:rFonts w:cstheme="minorBidi"/>
              <w:noProof/>
            </w:rPr>
          </w:pPr>
          <w:hyperlink w:anchor="_Toc524960005" w:history="1">
            <w:r w:rsidR="006E5108" w:rsidRPr="00B42D48">
              <w:rPr>
                <w:rStyle w:val="Hipervnculo"/>
                <w:rFonts w:ascii="Palatino Linotype" w:eastAsia="Calibri" w:hAnsi="Palatino Linotype" w:cstheme="majorBidi"/>
                <w:b/>
                <w:noProof/>
              </w:rPr>
              <w:t>V. Conclusión.</w:t>
            </w:r>
            <w:r w:rsidR="006E5108">
              <w:rPr>
                <w:noProof/>
                <w:webHidden/>
              </w:rPr>
              <w:tab/>
            </w:r>
            <w:r w:rsidR="006E5108">
              <w:rPr>
                <w:noProof/>
                <w:webHidden/>
              </w:rPr>
              <w:fldChar w:fldCharType="begin"/>
            </w:r>
            <w:r w:rsidR="006E5108">
              <w:rPr>
                <w:noProof/>
                <w:webHidden/>
              </w:rPr>
              <w:instrText xml:space="preserve"> PAGEREF _Toc524960005 \h </w:instrText>
            </w:r>
            <w:r w:rsidR="006E5108">
              <w:rPr>
                <w:noProof/>
                <w:webHidden/>
              </w:rPr>
            </w:r>
            <w:r w:rsidR="006E5108">
              <w:rPr>
                <w:noProof/>
                <w:webHidden/>
              </w:rPr>
              <w:fldChar w:fldCharType="separate"/>
            </w:r>
            <w:r w:rsidR="00A9078E">
              <w:rPr>
                <w:b/>
                <w:bCs/>
                <w:noProof/>
                <w:webHidden/>
                <w:lang w:val="es-ES"/>
              </w:rPr>
              <w:t>¡Error! Marcador no definido.</w:t>
            </w:r>
            <w:r w:rsidR="006E5108">
              <w:rPr>
                <w:noProof/>
                <w:webHidden/>
              </w:rPr>
              <w:fldChar w:fldCharType="end"/>
            </w:r>
          </w:hyperlink>
        </w:p>
        <w:p w:rsidR="003F3341" w:rsidRPr="006E5108" w:rsidRDefault="003F3341" w:rsidP="008C01BB">
          <w:pPr>
            <w:spacing w:line="360" w:lineRule="auto"/>
            <w:rPr>
              <w:rFonts w:ascii="Palatino Linotype" w:hAnsi="Palatino Linotype"/>
              <w:b/>
              <w:bCs/>
              <w:sz w:val="24"/>
              <w:szCs w:val="24"/>
              <w:lang w:val="es-ES"/>
            </w:rPr>
          </w:pPr>
          <w:r w:rsidRPr="006E5108">
            <w:rPr>
              <w:rFonts w:ascii="Palatino Linotype" w:hAnsi="Palatino Linotype"/>
              <w:b/>
              <w:bCs/>
              <w:sz w:val="24"/>
              <w:szCs w:val="24"/>
              <w:lang w:val="es-ES"/>
            </w:rPr>
            <w:fldChar w:fldCharType="end"/>
          </w:r>
          <w:r w:rsidRPr="006E5108">
            <w:rPr>
              <w:rFonts w:ascii="Palatino Linotype" w:hAnsi="Palatino Linotype"/>
              <w:b/>
              <w:bCs/>
              <w:sz w:val="24"/>
              <w:szCs w:val="24"/>
              <w:lang w:val="es-ES"/>
            </w:rPr>
            <w:t xml:space="preserve">                                                                                                                              </w:t>
          </w:r>
        </w:p>
      </w:sdtContent>
    </w:sdt>
    <w:p w:rsidR="003F3341" w:rsidRPr="006E5108" w:rsidRDefault="003F3341" w:rsidP="00AE7D98">
      <w:pPr>
        <w:keepNext/>
        <w:keepLines/>
        <w:numPr>
          <w:ilvl w:val="0"/>
          <w:numId w:val="28"/>
        </w:numPr>
        <w:spacing w:after="0" w:line="360" w:lineRule="auto"/>
        <w:ind w:left="0" w:firstLine="0"/>
        <w:outlineLvl w:val="0"/>
        <w:rPr>
          <w:rFonts w:ascii="Palatino Linotype" w:eastAsia="Times New Roman" w:hAnsi="Palatino Linotype" w:cstheme="majorBidi"/>
          <w:b/>
          <w:sz w:val="24"/>
          <w:szCs w:val="24"/>
        </w:rPr>
      </w:pPr>
      <w:bookmarkStart w:id="0" w:name="_Toc524960002"/>
      <w:r w:rsidRPr="006E5108">
        <w:rPr>
          <w:rFonts w:ascii="Palatino Linotype" w:eastAsia="Times New Roman" w:hAnsi="Palatino Linotype" w:cstheme="majorBidi"/>
          <w:b/>
          <w:sz w:val="24"/>
          <w:szCs w:val="24"/>
        </w:rPr>
        <w:t>Consideraciones Generales</w:t>
      </w:r>
      <w:bookmarkEnd w:id="0"/>
    </w:p>
    <w:p w:rsidR="003F3341" w:rsidRPr="006E5108" w:rsidRDefault="003F3341" w:rsidP="00AE7D98">
      <w:pPr>
        <w:tabs>
          <w:tab w:val="left" w:pos="440"/>
          <w:tab w:val="left" w:pos="880"/>
          <w:tab w:val="right" w:leader="dot" w:pos="8828"/>
        </w:tabs>
        <w:spacing w:after="0" w:line="360" w:lineRule="auto"/>
        <w:jc w:val="both"/>
        <w:rPr>
          <w:rFonts w:ascii="Palatino Linotype" w:hAnsi="Palatino Linotype"/>
          <w:b/>
          <w:noProof/>
          <w:sz w:val="24"/>
          <w:szCs w:val="24"/>
          <w:lang w:val="es-ES"/>
        </w:rPr>
      </w:pPr>
    </w:p>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rPr>
      </w:pPr>
      <w:r w:rsidRPr="006E5108">
        <w:rPr>
          <w:rFonts w:ascii="Palatino Linotype" w:eastAsia="Times New Roman" w:hAnsi="Palatino Linotype" w:cs="Arial"/>
          <w:sz w:val="24"/>
          <w:szCs w:val="24"/>
          <w:lang w:val="es-ES_tradnl"/>
        </w:rPr>
        <w:t xml:space="preserve">He concurrido con mi </w:t>
      </w:r>
      <w:r w:rsidR="008676D2">
        <w:rPr>
          <w:rFonts w:ascii="Palatino Linotype" w:eastAsia="Times New Roman" w:hAnsi="Palatino Linotype" w:cs="Arial"/>
          <w:sz w:val="24"/>
          <w:szCs w:val="24"/>
          <w:lang w:val="es-ES_tradnl"/>
        </w:rPr>
        <w:t xml:space="preserve">voto </w:t>
      </w:r>
      <w:r w:rsidRPr="006E5108">
        <w:rPr>
          <w:rFonts w:ascii="Palatino Linotype" w:eastAsia="Times New Roman" w:hAnsi="Palatino Linotype" w:cs="Arial"/>
          <w:sz w:val="24"/>
          <w:szCs w:val="24"/>
          <w:lang w:val="es-ES_tradnl"/>
        </w:rPr>
        <w:t xml:space="preserve">particular de la presente resolución emitida </w:t>
      </w:r>
      <w:r w:rsidRPr="006E5108">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8676D2">
        <w:rPr>
          <w:rFonts w:ascii="Palatino Linotype" w:eastAsia="Calibri" w:hAnsi="Palatino Linotype" w:cs="Arial"/>
          <w:sz w:val="24"/>
          <w:szCs w:val="24"/>
        </w:rPr>
        <w:t xml:space="preserve"> Cuadragésima </w:t>
      </w:r>
      <w:r w:rsidRPr="006E5108">
        <w:rPr>
          <w:rFonts w:ascii="Palatino Linotype" w:eastAsia="Calibri" w:hAnsi="Palatino Linotype" w:cs="Arial"/>
          <w:sz w:val="24"/>
          <w:szCs w:val="24"/>
        </w:rPr>
        <w:t xml:space="preserve"> </w:t>
      </w:r>
      <w:r w:rsidR="008676D2">
        <w:rPr>
          <w:rFonts w:ascii="Palatino Linotype" w:eastAsia="Calibri" w:hAnsi="Palatino Linotype" w:cs="Arial"/>
          <w:sz w:val="24"/>
          <w:szCs w:val="24"/>
        </w:rPr>
        <w:t xml:space="preserve">sesión </w:t>
      </w:r>
      <w:r w:rsidR="008676D2">
        <w:rPr>
          <w:rFonts w:ascii="Palatino Linotype" w:eastAsia="Calibri" w:hAnsi="Palatino Linotype" w:cs="Arial"/>
          <w:sz w:val="24"/>
          <w:szCs w:val="24"/>
        </w:rPr>
        <w:lastRenderedPageBreak/>
        <w:t xml:space="preserve">ordinaria celebrada el del día treinta y uno </w:t>
      </w:r>
      <w:r w:rsidRPr="006E5108">
        <w:rPr>
          <w:rFonts w:ascii="Palatino Linotype" w:eastAsia="Calibri" w:hAnsi="Palatino Linotype" w:cs="Arial"/>
          <w:sz w:val="24"/>
          <w:szCs w:val="24"/>
        </w:rPr>
        <w:t>(</w:t>
      </w:r>
      <w:r w:rsidR="008676D2">
        <w:rPr>
          <w:rFonts w:ascii="Palatino Linotype" w:eastAsia="Calibri" w:hAnsi="Palatino Linotype" w:cs="Arial"/>
          <w:sz w:val="24"/>
          <w:szCs w:val="24"/>
        </w:rPr>
        <w:t>31) de octubre</w:t>
      </w:r>
      <w:r w:rsidR="001A67CD" w:rsidRPr="006E5108">
        <w:rPr>
          <w:rFonts w:ascii="Palatino Linotype" w:eastAsia="Calibri" w:hAnsi="Palatino Linotype" w:cs="Arial"/>
          <w:sz w:val="24"/>
          <w:szCs w:val="24"/>
        </w:rPr>
        <w:t xml:space="preserve"> del año dos mil dieciocho</w:t>
      </w:r>
      <w:r w:rsidRPr="006E5108">
        <w:rPr>
          <w:rFonts w:ascii="Palatino Linotype" w:eastAsia="Calibri" w:hAnsi="Palatino Linotype" w:cs="Arial"/>
          <w:sz w:val="24"/>
          <w:szCs w:val="24"/>
        </w:rPr>
        <w:t>, en el recurso de revisión interpuesto por</w:t>
      </w:r>
      <w:r w:rsidR="008676D2">
        <w:rPr>
          <w:rFonts w:ascii="Palatino Linotype" w:eastAsia="Calibri" w:hAnsi="Palatino Linotype" w:cs="Arial"/>
          <w:sz w:val="24"/>
          <w:szCs w:val="24"/>
        </w:rPr>
        <w:t xml:space="preserve"> </w:t>
      </w:r>
      <w:r w:rsidR="00A75D94" w:rsidRPr="00A75D94">
        <w:rPr>
          <w:rFonts w:ascii="Palatino Linotype" w:eastAsia="Calibri" w:hAnsi="Palatino Linotype" w:cs="Arial"/>
          <w:b/>
          <w:sz w:val="24"/>
          <w:szCs w:val="24"/>
          <w:highlight w:val="black"/>
        </w:rPr>
        <w:t>----------------------------------</w:t>
      </w:r>
      <w:r w:rsidR="008676D2">
        <w:rPr>
          <w:rFonts w:ascii="Palatino Linotype" w:eastAsia="Calibri" w:hAnsi="Palatino Linotype" w:cs="Arial"/>
          <w:sz w:val="24"/>
          <w:szCs w:val="24"/>
        </w:rPr>
        <w:t xml:space="preserve"> </w:t>
      </w:r>
      <w:r w:rsidR="00B350FA" w:rsidRPr="006E5108">
        <w:rPr>
          <w:rFonts w:ascii="Palatino Linotype" w:eastAsia="Calibri" w:hAnsi="Palatino Linotype" w:cs="Arial"/>
          <w:sz w:val="24"/>
          <w:szCs w:val="24"/>
        </w:rPr>
        <w:t>en contra de la respuesta de la</w:t>
      </w:r>
      <w:r w:rsidR="008676D2">
        <w:rPr>
          <w:rFonts w:ascii="Palatino Linotype" w:eastAsia="Calibri" w:hAnsi="Palatino Linotype" w:cs="Arial"/>
          <w:sz w:val="24"/>
          <w:szCs w:val="24"/>
        </w:rPr>
        <w:t xml:space="preserve"> </w:t>
      </w:r>
      <w:r w:rsidR="008676D2">
        <w:rPr>
          <w:rFonts w:ascii="Palatino Linotype" w:eastAsia="Calibri" w:hAnsi="Palatino Linotype" w:cs="Arial"/>
          <w:b/>
          <w:sz w:val="24"/>
          <w:szCs w:val="24"/>
        </w:rPr>
        <w:t>Secretaría de Fianzas</w:t>
      </w:r>
      <w:r w:rsidRPr="006E5108">
        <w:rPr>
          <w:rFonts w:ascii="Palatino Linotype" w:eastAsia="Times New Roman" w:hAnsi="Palatino Linotype" w:cs="Arial"/>
          <w:b/>
          <w:sz w:val="24"/>
          <w:szCs w:val="24"/>
          <w:lang w:val="es-ES" w:eastAsia="es-ES"/>
        </w:rPr>
        <w:t>,</w:t>
      </w:r>
      <w:r w:rsidRPr="006E5108">
        <w:rPr>
          <w:rFonts w:ascii="Palatino Linotype" w:eastAsia="Calibri" w:hAnsi="Palatino Linotype" w:cs="Arial"/>
          <w:b/>
          <w:sz w:val="24"/>
          <w:szCs w:val="24"/>
        </w:rPr>
        <w:t xml:space="preserve"> </w:t>
      </w:r>
      <w:r w:rsidRPr="006E5108">
        <w:rPr>
          <w:rFonts w:ascii="Palatino Linotype" w:eastAsia="Calibri" w:hAnsi="Palatino Linotype" w:cs="Arial"/>
          <w:sz w:val="24"/>
          <w:szCs w:val="24"/>
        </w:rPr>
        <w:t xml:space="preserve">procedimiento que le fue asignado el número de expediente </w:t>
      </w:r>
      <w:r w:rsidR="008676D2">
        <w:rPr>
          <w:rFonts w:ascii="Palatino Linotype" w:hAnsi="Palatino Linotype"/>
          <w:b/>
          <w:sz w:val="24"/>
          <w:szCs w:val="24"/>
        </w:rPr>
        <w:t>03184</w:t>
      </w:r>
      <w:r w:rsidR="006D6CBB">
        <w:rPr>
          <w:rFonts w:ascii="Palatino Linotype" w:hAnsi="Palatino Linotype" w:cs="Arial"/>
          <w:b/>
          <w:bCs/>
          <w:sz w:val="24"/>
          <w:szCs w:val="24"/>
        </w:rPr>
        <w:t>/INFOEM/IP/RR/2018</w:t>
      </w:r>
      <w:r w:rsidR="000125F6" w:rsidRPr="006E5108">
        <w:rPr>
          <w:rFonts w:ascii="Palatino Linotype" w:hAnsi="Palatino Linotype"/>
          <w:sz w:val="24"/>
          <w:szCs w:val="24"/>
        </w:rPr>
        <w:t>.</w:t>
      </w:r>
    </w:p>
    <w:p w:rsidR="003F3341" w:rsidRPr="006E5108" w:rsidRDefault="003F3341" w:rsidP="008C01BB">
      <w:pPr>
        <w:spacing w:after="0" w:line="360" w:lineRule="auto"/>
        <w:contextualSpacing/>
        <w:jc w:val="both"/>
        <w:rPr>
          <w:rFonts w:ascii="Palatino Linotype" w:eastAsia="Calibri" w:hAnsi="Palatino Linotype" w:cs="Arial"/>
          <w:sz w:val="24"/>
          <w:szCs w:val="24"/>
        </w:rPr>
      </w:pPr>
    </w:p>
    <w:p w:rsidR="003F3341" w:rsidRPr="006E5108" w:rsidRDefault="003F3341" w:rsidP="008C01BB">
      <w:pPr>
        <w:numPr>
          <w:ilvl w:val="0"/>
          <w:numId w:val="27"/>
        </w:numPr>
        <w:spacing w:after="0" w:line="360" w:lineRule="auto"/>
        <w:ind w:left="0" w:firstLine="0"/>
        <w:contextualSpacing/>
        <w:jc w:val="both"/>
        <w:rPr>
          <w:rFonts w:ascii="Palatino Linotype" w:eastAsia="Calibri" w:hAnsi="Palatino Linotype" w:cs="Arial"/>
          <w:sz w:val="24"/>
          <w:szCs w:val="24"/>
        </w:rPr>
      </w:pPr>
      <w:r w:rsidRPr="006E5108">
        <w:rPr>
          <w:rFonts w:ascii="Palatino Linotype" w:eastAsia="Calibri" w:hAnsi="Palatino Linotype" w:cs="Arial"/>
          <w:sz w:val="24"/>
          <w:szCs w:val="24"/>
        </w:rPr>
        <w:t>La re</w:t>
      </w:r>
      <w:r w:rsidR="00B350FA" w:rsidRPr="006E5108">
        <w:rPr>
          <w:rFonts w:ascii="Palatino Linotype" w:eastAsia="Calibri" w:hAnsi="Palatino Linotype" w:cs="Arial"/>
          <w:sz w:val="24"/>
          <w:szCs w:val="24"/>
        </w:rPr>
        <w:t>solución puntualment</w:t>
      </w:r>
      <w:r w:rsidR="00050164">
        <w:rPr>
          <w:rFonts w:ascii="Palatino Linotype" w:eastAsia="Calibri" w:hAnsi="Palatino Linotype" w:cs="Arial"/>
          <w:sz w:val="24"/>
          <w:szCs w:val="24"/>
        </w:rPr>
        <w:t>e determinó</w:t>
      </w:r>
      <w:r w:rsidR="008676D2">
        <w:rPr>
          <w:rFonts w:ascii="Palatino Linotype" w:eastAsia="Calibri" w:hAnsi="Palatino Linotype" w:cs="Arial"/>
          <w:sz w:val="24"/>
          <w:szCs w:val="24"/>
        </w:rPr>
        <w:t xml:space="preserve"> </w:t>
      </w:r>
      <w:r w:rsidR="008676D2">
        <w:rPr>
          <w:rFonts w:ascii="Palatino Linotype" w:eastAsia="Calibri" w:hAnsi="Palatino Linotype" w:cs="Arial"/>
          <w:b/>
          <w:sz w:val="24"/>
          <w:szCs w:val="24"/>
        </w:rPr>
        <w:t xml:space="preserve">SOBRESEER </w:t>
      </w:r>
      <w:r w:rsidR="008676D2">
        <w:rPr>
          <w:rFonts w:ascii="Palatino Linotype" w:eastAsia="Calibri" w:hAnsi="Palatino Linotype" w:cs="Arial"/>
          <w:sz w:val="24"/>
          <w:szCs w:val="24"/>
        </w:rPr>
        <w:t>el recurso de revisión</w:t>
      </w:r>
      <w:r w:rsidR="00050164">
        <w:rPr>
          <w:rFonts w:ascii="Palatino Linotype" w:eastAsia="Calibri" w:hAnsi="Palatino Linotype" w:cs="Arial"/>
          <w:sz w:val="24"/>
          <w:szCs w:val="24"/>
        </w:rPr>
        <w:t xml:space="preserve"> porque</w:t>
      </w:r>
      <w:r w:rsidR="008676D2">
        <w:rPr>
          <w:rFonts w:ascii="Palatino Linotype" w:eastAsia="Calibri" w:hAnsi="Palatino Linotype" w:cs="Arial"/>
          <w:sz w:val="24"/>
          <w:szCs w:val="24"/>
        </w:rPr>
        <w:t xml:space="preserve"> </w:t>
      </w:r>
      <w:r w:rsidR="00050164" w:rsidRPr="00050164">
        <w:rPr>
          <w:rFonts w:ascii="Palatino Linotype" w:eastAsia="Calibri" w:hAnsi="Palatino Linotype" w:cs="Arial"/>
          <w:sz w:val="24"/>
          <w:szCs w:val="24"/>
          <w:lang w:val="es-ES"/>
        </w:rPr>
        <w:t>modifi</w:t>
      </w:r>
      <w:r w:rsidR="00050164">
        <w:rPr>
          <w:rFonts w:ascii="Palatino Linotype" w:eastAsia="Calibri" w:hAnsi="Palatino Linotype" w:cs="Arial"/>
          <w:sz w:val="24"/>
          <w:szCs w:val="24"/>
          <w:lang w:val="es-ES"/>
        </w:rPr>
        <w:t>case</w:t>
      </w:r>
      <w:r w:rsidR="00050164" w:rsidRPr="00050164">
        <w:rPr>
          <w:rFonts w:ascii="Palatino Linotype" w:eastAsia="Calibri" w:hAnsi="Palatino Linotype" w:cs="Arial"/>
          <w:sz w:val="24"/>
          <w:szCs w:val="24"/>
          <w:lang w:val="es-ES"/>
        </w:rPr>
        <w:t xml:space="preserve"> la respuesta, el recurso de revisión quedó sin materia</w:t>
      </w:r>
    </w:p>
    <w:p w:rsidR="003F3341" w:rsidRPr="006E5108" w:rsidRDefault="003F3341" w:rsidP="008C01BB">
      <w:pPr>
        <w:spacing w:after="0" w:line="360" w:lineRule="auto"/>
        <w:contextualSpacing/>
        <w:jc w:val="both"/>
        <w:rPr>
          <w:rFonts w:ascii="Palatino Linotype" w:eastAsia="Calibri" w:hAnsi="Palatino Linotype" w:cs="Arial"/>
          <w:sz w:val="24"/>
          <w:szCs w:val="24"/>
        </w:rPr>
      </w:pPr>
    </w:p>
    <w:p w:rsidR="003F3341" w:rsidRPr="006E5108" w:rsidRDefault="00050164" w:rsidP="008C01BB">
      <w:pPr>
        <w:numPr>
          <w:ilvl w:val="0"/>
          <w:numId w:val="27"/>
        </w:numPr>
        <w:spacing w:after="0" w:line="360" w:lineRule="auto"/>
        <w:ind w:left="0" w:firstLine="0"/>
        <w:contextualSpacing/>
        <w:jc w:val="both"/>
        <w:rPr>
          <w:rFonts w:ascii="Palatino Linotype" w:eastAsia="Calibri" w:hAnsi="Palatino Linotype" w:cs="Arial"/>
          <w:sz w:val="24"/>
          <w:szCs w:val="24"/>
          <w:lang w:val="es-ES"/>
        </w:rPr>
      </w:pPr>
      <w:r>
        <w:rPr>
          <w:rFonts w:ascii="Palatino Linotype" w:eastAsia="Calibri" w:hAnsi="Palatino Linotype" w:cs="Arial"/>
          <w:sz w:val="24"/>
          <w:szCs w:val="24"/>
        </w:rPr>
        <w:t xml:space="preserve">Si bien, estoy de acuerdo en parte del estudio propuesto en relación a que uno de los puntos fue atendido, </w:t>
      </w:r>
      <w:r w:rsidR="003F3341" w:rsidRPr="006E5108">
        <w:rPr>
          <w:rFonts w:ascii="Palatino Linotype" w:eastAsia="Calibri" w:hAnsi="Palatino Linotype" w:cs="Arial"/>
          <w:sz w:val="24"/>
          <w:szCs w:val="24"/>
        </w:rPr>
        <w:t xml:space="preserve">mi </w:t>
      </w:r>
      <w:r w:rsidR="008676D2">
        <w:rPr>
          <w:rFonts w:ascii="Palatino Linotype" w:eastAsia="Calibri" w:hAnsi="Palatino Linotype" w:cs="Arial"/>
          <w:sz w:val="24"/>
          <w:szCs w:val="24"/>
        </w:rPr>
        <w:t xml:space="preserve">voto particular se deriva de la omisión por parte de la ponencia que resuelve </w:t>
      </w:r>
      <w:r w:rsidR="001F2B15">
        <w:rPr>
          <w:rFonts w:ascii="Palatino Linotype" w:eastAsia="Calibri" w:hAnsi="Palatino Linotype" w:cs="Arial"/>
          <w:sz w:val="24"/>
          <w:szCs w:val="24"/>
        </w:rPr>
        <w:t xml:space="preserve">de </w:t>
      </w:r>
      <w:r w:rsidR="008676D2">
        <w:rPr>
          <w:rFonts w:ascii="Palatino Linotype" w:eastAsia="Calibri" w:hAnsi="Palatino Linotype" w:cs="Arial"/>
          <w:sz w:val="24"/>
          <w:szCs w:val="24"/>
        </w:rPr>
        <w:t>ordenar las facturas o comprobantes de</w:t>
      </w:r>
      <w:r>
        <w:rPr>
          <w:rFonts w:ascii="Palatino Linotype" w:eastAsia="Calibri" w:hAnsi="Palatino Linotype" w:cs="Arial"/>
          <w:sz w:val="24"/>
          <w:szCs w:val="24"/>
        </w:rPr>
        <w:t xml:space="preserve"> las gestiones de los diputados, que inicialmente también fueron solicitadas.</w:t>
      </w:r>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AE7D98" w:rsidRPr="006E5108" w:rsidRDefault="003F3341" w:rsidP="00AE7D98">
      <w:pPr>
        <w:numPr>
          <w:ilvl w:val="0"/>
          <w:numId w:val="27"/>
        </w:numPr>
        <w:spacing w:after="0" w:line="360" w:lineRule="auto"/>
        <w:ind w:left="0" w:firstLine="0"/>
        <w:contextualSpacing/>
        <w:jc w:val="both"/>
        <w:rPr>
          <w:rFonts w:ascii="Palatino Linotype" w:eastAsia="Calibri" w:hAnsi="Palatino Linotype" w:cs="Arial"/>
          <w:sz w:val="24"/>
          <w:szCs w:val="24"/>
          <w:lang w:val="es-ES"/>
        </w:rPr>
      </w:pPr>
      <w:r w:rsidRPr="006E5108">
        <w:rPr>
          <w:rFonts w:ascii="Palatino Linotype" w:eastAsia="Calibri" w:hAnsi="Palatino Linotype" w:cs="Arial"/>
          <w:sz w:val="24"/>
          <w:szCs w:val="24"/>
          <w:lang w:val="es-ES"/>
        </w:rPr>
        <w:t>Por</w:t>
      </w:r>
      <w:r w:rsidRPr="006E5108">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3F3341" w:rsidRPr="006E5108" w:rsidRDefault="003F3341" w:rsidP="008C01BB">
      <w:pPr>
        <w:keepNext/>
        <w:keepLines/>
        <w:numPr>
          <w:ilvl w:val="0"/>
          <w:numId w:val="28"/>
        </w:numPr>
        <w:spacing w:before="240" w:after="0" w:line="360" w:lineRule="auto"/>
        <w:ind w:left="0" w:firstLine="0"/>
        <w:outlineLvl w:val="0"/>
        <w:rPr>
          <w:rFonts w:ascii="Palatino Linotype" w:eastAsia="Calibri" w:hAnsi="Palatino Linotype" w:cstheme="majorBidi"/>
          <w:b/>
          <w:sz w:val="24"/>
          <w:szCs w:val="24"/>
          <w:lang w:val="es-ES"/>
        </w:rPr>
      </w:pPr>
      <w:bookmarkStart w:id="1" w:name="_Toc524960003"/>
      <w:r w:rsidRPr="006E5108">
        <w:rPr>
          <w:rFonts w:ascii="Palatino Linotype" w:eastAsia="Calibri" w:hAnsi="Palatino Linotype" w:cstheme="majorBidi"/>
          <w:b/>
          <w:sz w:val="24"/>
          <w:szCs w:val="24"/>
          <w:lang w:val="es-ES"/>
        </w:rPr>
        <w:t>De los requerimientos planteados en el recurso de revisión.</w:t>
      </w:r>
      <w:bookmarkEnd w:id="1"/>
    </w:p>
    <w:p w:rsidR="003F3341" w:rsidRPr="006E5108" w:rsidRDefault="003F3341" w:rsidP="008C01BB">
      <w:pPr>
        <w:spacing w:line="360" w:lineRule="auto"/>
        <w:contextualSpacing/>
        <w:rPr>
          <w:rFonts w:ascii="Palatino Linotype" w:eastAsia="Calibri" w:hAnsi="Palatino Linotype" w:cs="Arial"/>
          <w:sz w:val="24"/>
          <w:szCs w:val="24"/>
          <w:lang w:val="es-ES"/>
        </w:rPr>
      </w:pPr>
    </w:p>
    <w:p w:rsidR="00AE7D98" w:rsidRPr="006E5108" w:rsidRDefault="003F3341" w:rsidP="005755EF">
      <w:pPr>
        <w:pStyle w:val="Prrafodelista"/>
        <w:numPr>
          <w:ilvl w:val="0"/>
          <w:numId w:val="27"/>
        </w:numPr>
        <w:autoSpaceDE w:val="0"/>
        <w:autoSpaceDN w:val="0"/>
        <w:adjustRightInd w:val="0"/>
        <w:spacing w:line="360" w:lineRule="auto"/>
        <w:ind w:left="0" w:right="-93" w:firstLine="0"/>
        <w:jc w:val="both"/>
        <w:rPr>
          <w:rFonts w:ascii="Palatino Linotype" w:eastAsia="Calibri" w:hAnsi="Palatino Linotype" w:cs="Times New Roman"/>
          <w:sz w:val="24"/>
          <w:szCs w:val="24"/>
        </w:rPr>
      </w:pPr>
      <w:r w:rsidRPr="006E5108">
        <w:rPr>
          <w:rFonts w:ascii="Palatino Linotype" w:eastAsia="Calibri" w:hAnsi="Palatino Linotype" w:cs="Arial"/>
          <w:sz w:val="24"/>
          <w:szCs w:val="24"/>
          <w:lang w:val="es-ES"/>
        </w:rPr>
        <w:lastRenderedPageBreak/>
        <w:t xml:space="preserve">En </w:t>
      </w:r>
      <w:r w:rsidRPr="006E5108">
        <w:rPr>
          <w:rFonts w:ascii="Palatino Linotype" w:eastAsia="Calibri" w:hAnsi="Palatino Linotype" w:cs="Times New Roman"/>
          <w:sz w:val="24"/>
          <w:szCs w:val="24"/>
        </w:rPr>
        <w:t xml:space="preserve">ejercicio del derecho </w:t>
      </w:r>
      <w:r w:rsidR="008676D2">
        <w:rPr>
          <w:rFonts w:ascii="Palatino Linotype" w:eastAsia="Calibri" w:hAnsi="Palatino Linotype" w:cs="Times New Roman"/>
          <w:sz w:val="24"/>
          <w:szCs w:val="24"/>
        </w:rPr>
        <w:t xml:space="preserve">constitucional que le asiste a la </w:t>
      </w:r>
      <w:r w:rsidRPr="006E5108">
        <w:rPr>
          <w:rFonts w:ascii="Palatino Linotype" w:eastAsia="Calibri" w:hAnsi="Palatino Linotype" w:cs="Times New Roman"/>
          <w:sz w:val="24"/>
          <w:szCs w:val="24"/>
        </w:rPr>
        <w:t xml:space="preserve">particular, formuló una solicitud </w:t>
      </w:r>
      <w:r w:rsidR="005755EF" w:rsidRPr="006E5108">
        <w:rPr>
          <w:rFonts w:ascii="Palatino Linotype" w:eastAsia="Calibri" w:hAnsi="Palatino Linotype" w:cs="Times New Roman"/>
          <w:sz w:val="24"/>
          <w:szCs w:val="24"/>
        </w:rPr>
        <w:t>de información dirigida hacia la</w:t>
      </w:r>
      <w:r w:rsidR="008676D2">
        <w:rPr>
          <w:rFonts w:ascii="Palatino Linotype" w:eastAsia="Calibri" w:hAnsi="Palatino Linotype" w:cs="Times New Roman"/>
          <w:sz w:val="24"/>
          <w:szCs w:val="24"/>
        </w:rPr>
        <w:t xml:space="preserve"> </w:t>
      </w:r>
      <w:r w:rsidR="008676D2">
        <w:rPr>
          <w:rFonts w:ascii="Palatino Linotype" w:eastAsia="Calibri" w:hAnsi="Palatino Linotype" w:cs="Times New Roman"/>
          <w:b/>
          <w:sz w:val="24"/>
          <w:szCs w:val="24"/>
        </w:rPr>
        <w:t>Secretaría de Fianzas</w:t>
      </w:r>
      <w:r w:rsidRPr="006E5108">
        <w:rPr>
          <w:rFonts w:ascii="Palatino Linotype" w:eastAsia="Calibri" w:hAnsi="Palatino Linotype" w:cs="Times New Roman"/>
          <w:sz w:val="24"/>
          <w:szCs w:val="24"/>
        </w:rPr>
        <w:t>, en dicha</w:t>
      </w:r>
      <w:r w:rsidR="00AE7D98" w:rsidRPr="006E5108">
        <w:rPr>
          <w:rFonts w:ascii="Palatino Linotype" w:eastAsia="Calibri" w:hAnsi="Palatino Linotype" w:cs="Times New Roman"/>
          <w:sz w:val="24"/>
          <w:szCs w:val="24"/>
        </w:rPr>
        <w:t xml:space="preserve"> solicitud planteó lo siguiente:</w:t>
      </w:r>
    </w:p>
    <w:p w:rsidR="005755EF" w:rsidRPr="006E5108" w:rsidRDefault="005755EF" w:rsidP="005755EF">
      <w:pPr>
        <w:autoSpaceDE w:val="0"/>
        <w:autoSpaceDN w:val="0"/>
        <w:adjustRightInd w:val="0"/>
        <w:ind w:right="900"/>
        <w:jc w:val="both"/>
        <w:rPr>
          <w:rFonts w:ascii="Palatino Linotype" w:hAnsi="Palatino Linotype"/>
          <w:b/>
          <w:i/>
          <w:color w:val="000000"/>
          <w:sz w:val="24"/>
          <w:szCs w:val="24"/>
          <w:lang w:val="es-ES"/>
        </w:rPr>
      </w:pPr>
    </w:p>
    <w:p w:rsidR="005755EF" w:rsidRPr="006E5108" w:rsidRDefault="005755EF" w:rsidP="008676D2">
      <w:pPr>
        <w:autoSpaceDE w:val="0"/>
        <w:autoSpaceDN w:val="0"/>
        <w:adjustRightInd w:val="0"/>
        <w:ind w:left="851" w:right="900"/>
        <w:jc w:val="both"/>
        <w:rPr>
          <w:rFonts w:ascii="Palatino Linotype" w:hAnsi="Palatino Linotype"/>
          <w:i/>
          <w:color w:val="000000"/>
          <w:sz w:val="24"/>
          <w:szCs w:val="24"/>
          <w:lang w:val="es-ES"/>
        </w:rPr>
      </w:pPr>
      <w:r w:rsidRPr="006E5108">
        <w:rPr>
          <w:rFonts w:ascii="Palatino Linotype" w:hAnsi="Palatino Linotype"/>
          <w:i/>
          <w:color w:val="000000"/>
          <w:sz w:val="24"/>
          <w:szCs w:val="24"/>
          <w:lang w:val="es-ES"/>
        </w:rPr>
        <w:t xml:space="preserve"> </w:t>
      </w:r>
      <w:r w:rsidR="008676D2" w:rsidRPr="008676D2">
        <w:rPr>
          <w:rFonts w:ascii="Palatino Linotype" w:hAnsi="Palatino Linotype"/>
          <w:i/>
          <w:color w:val="000000"/>
          <w:sz w:val="24"/>
          <w:szCs w:val="24"/>
          <w:lang w:val="es-ES"/>
        </w:rPr>
        <w:t xml:space="preserve"> “Dar a conocer a través de copias el</w:t>
      </w:r>
      <w:r w:rsidR="008676D2" w:rsidRPr="00050164">
        <w:rPr>
          <w:rFonts w:ascii="Palatino Linotype" w:hAnsi="Palatino Linotype"/>
          <w:b/>
          <w:i/>
          <w:color w:val="000000"/>
          <w:sz w:val="24"/>
          <w:szCs w:val="24"/>
          <w:lang w:val="es-ES"/>
        </w:rPr>
        <w:t xml:space="preserve"> monto total que ha recibido cada uno de los 75 diputados</w:t>
      </w:r>
      <w:r w:rsidR="008676D2" w:rsidRPr="008676D2">
        <w:rPr>
          <w:rFonts w:ascii="Palatino Linotype" w:hAnsi="Palatino Linotype"/>
          <w:i/>
          <w:color w:val="000000"/>
          <w:sz w:val="24"/>
          <w:szCs w:val="24"/>
          <w:lang w:val="es-ES"/>
        </w:rPr>
        <w:t xml:space="preserve"> propietarios en la actual Legislatura como parte del Programa de Apoyo a la Comunidad. Desde que entraron a la fecha </w:t>
      </w:r>
      <w:r w:rsidR="008676D2" w:rsidRPr="00050164">
        <w:rPr>
          <w:rFonts w:ascii="Palatino Linotype" w:hAnsi="Palatino Linotype"/>
          <w:b/>
          <w:i/>
          <w:color w:val="000000"/>
          <w:sz w:val="24"/>
          <w:szCs w:val="24"/>
          <w:u w:val="single"/>
          <w:lang w:val="es-ES"/>
        </w:rPr>
        <w:t>cuánto ha logrado gestionar y recibir</w:t>
      </w:r>
      <w:r w:rsidR="008676D2" w:rsidRPr="008676D2">
        <w:rPr>
          <w:rFonts w:ascii="Palatino Linotype" w:hAnsi="Palatino Linotype"/>
          <w:i/>
          <w:color w:val="000000"/>
          <w:sz w:val="24"/>
          <w:szCs w:val="24"/>
          <w:lang w:val="es-ES"/>
        </w:rPr>
        <w:t xml:space="preserve"> cada uno de los 75 diputados. Dar a conocer el monto.” (</w:t>
      </w:r>
      <w:proofErr w:type="gramStart"/>
      <w:r w:rsidR="008676D2" w:rsidRPr="008676D2">
        <w:rPr>
          <w:rFonts w:ascii="Palatino Linotype" w:hAnsi="Palatino Linotype"/>
          <w:i/>
          <w:color w:val="000000"/>
          <w:sz w:val="24"/>
          <w:szCs w:val="24"/>
          <w:lang w:val="es-ES"/>
        </w:rPr>
        <w:t>sic</w:t>
      </w:r>
      <w:proofErr w:type="gramEnd"/>
      <w:r w:rsidR="008676D2" w:rsidRPr="008676D2">
        <w:rPr>
          <w:rFonts w:ascii="Palatino Linotype" w:hAnsi="Palatino Linotype"/>
          <w:i/>
          <w:color w:val="000000"/>
          <w:sz w:val="24"/>
          <w:szCs w:val="24"/>
          <w:lang w:val="es-ES"/>
        </w:rPr>
        <w:t>)</w:t>
      </w:r>
    </w:p>
    <w:p w:rsidR="009F2B4A" w:rsidRDefault="009F2B4A" w:rsidP="009F2B4A">
      <w:pPr>
        <w:pStyle w:val="Prrafodelista"/>
        <w:spacing w:before="240" w:after="240" w:line="360" w:lineRule="auto"/>
        <w:ind w:left="0" w:right="51"/>
        <w:jc w:val="both"/>
        <w:rPr>
          <w:rFonts w:ascii="Palatino Linotype" w:eastAsia="Calibri" w:hAnsi="Palatino Linotype" w:cs="Arial"/>
          <w:sz w:val="24"/>
          <w:szCs w:val="24"/>
        </w:rPr>
      </w:pPr>
    </w:p>
    <w:p w:rsidR="003317AF" w:rsidRDefault="003317AF" w:rsidP="005755EF">
      <w:pPr>
        <w:pStyle w:val="Prrafodelista"/>
        <w:numPr>
          <w:ilvl w:val="0"/>
          <w:numId w:val="27"/>
        </w:numPr>
        <w:spacing w:before="240" w:after="240" w:line="360" w:lineRule="auto"/>
        <w:ind w:left="0" w:right="51"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El Sujeto Obligado dio respuesta a la solicitud de información, de la siguiente manera: </w:t>
      </w:r>
    </w:p>
    <w:p w:rsidR="003317AF" w:rsidRPr="005A41D4" w:rsidRDefault="003317AF" w:rsidP="003317AF">
      <w:pPr>
        <w:pStyle w:val="Prrafodelista"/>
        <w:spacing w:before="240" w:after="240" w:line="360" w:lineRule="auto"/>
        <w:ind w:left="0" w:right="51"/>
        <w:jc w:val="both"/>
        <w:rPr>
          <w:rFonts w:ascii="Palatino Linotype" w:eastAsia="Calibri" w:hAnsi="Palatino Linotype" w:cs="Arial"/>
          <w:color w:val="000000" w:themeColor="text1"/>
          <w:sz w:val="24"/>
          <w:szCs w:val="24"/>
        </w:rPr>
      </w:pPr>
    </w:p>
    <w:p w:rsidR="003317AF" w:rsidRPr="005A41D4" w:rsidRDefault="003317AF" w:rsidP="003317AF">
      <w:pPr>
        <w:pStyle w:val="Prrafodelista"/>
        <w:numPr>
          <w:ilvl w:val="0"/>
          <w:numId w:val="36"/>
        </w:numPr>
        <w:spacing w:before="240" w:after="240" w:line="360" w:lineRule="auto"/>
        <w:contextualSpacing w:val="0"/>
        <w:jc w:val="both"/>
        <w:rPr>
          <w:rFonts w:ascii="Palatino Linotype" w:hAnsi="Palatino Linotype"/>
          <w:color w:val="000000" w:themeColor="text1"/>
          <w:sz w:val="24"/>
          <w:szCs w:val="23"/>
        </w:rPr>
      </w:pPr>
      <w:r w:rsidRPr="005A41D4">
        <w:rPr>
          <w:rFonts w:ascii="Palatino Linotype" w:hAnsi="Palatino Linotype"/>
          <w:color w:val="000000" w:themeColor="text1"/>
          <w:sz w:val="24"/>
          <w:szCs w:val="23"/>
        </w:rPr>
        <w:t>Archivo “</w:t>
      </w:r>
      <w:hyperlink r:id="rId8" w:tgtFrame="_blank" w:history="1">
        <w:r w:rsidRPr="005A41D4">
          <w:rPr>
            <w:rStyle w:val="Hipervnculo"/>
            <w:rFonts w:ascii="Palatino Linotype" w:hAnsi="Palatino Linotype" w:cs="Arial"/>
            <w:b/>
            <w:bCs/>
            <w:color w:val="000000" w:themeColor="text1"/>
            <w:sz w:val="24"/>
            <w:szCs w:val="23"/>
          </w:rPr>
          <w:t>00354 PAC.pdf</w:t>
        </w:r>
      </w:hyperlink>
      <w:r w:rsidRPr="005A41D4">
        <w:rPr>
          <w:rFonts w:ascii="Palatino Linotype" w:hAnsi="Palatino Linotype"/>
          <w:color w:val="000000" w:themeColor="text1"/>
          <w:sz w:val="24"/>
          <w:szCs w:val="23"/>
        </w:rPr>
        <w:t xml:space="preserve">” contiene el oficio número 203460100-T-059/2018, por medio del cual el Servidor Público habilitado de la Coordinación del Programa de Apoyo a la Comunidad informa al Titular de la Unidad de Transparencia que la información relacionada con lo que han logrado gestionar, recibir y los montos totales recibidos de cada uno de los 75 diputados durante el periodo de la actual Legislatura por parte del Programa de Apoyo a la Comunidad, se localiza en los archivos de las áreas que conforman dicha unidad administrativa, misma que está contenida en diferentes expedientes, los cuales constan aproximadamente de 75,000 hojas, </w:t>
      </w:r>
      <w:r w:rsidRPr="005A41D4">
        <w:rPr>
          <w:rFonts w:ascii="Palatino Linotype" w:hAnsi="Palatino Linotype"/>
          <w:color w:val="000000" w:themeColor="text1"/>
          <w:sz w:val="24"/>
          <w:szCs w:val="23"/>
        </w:rPr>
        <w:lastRenderedPageBreak/>
        <w:t>agregando que para poder ser entregadas se requiere fotocopiar cada uno de los documentos contenidos en los expedientes, realizar la versión pública y digitalizarlos, además debido a la cantidad de documentos se excede la capacidad del Sistema de Acceso a la Información Mexiquense, adicionando que la entrega de la información sobrepasa las capacidades técnicas, administrativas y humanas, motivo por el cual con fundamento en el artículo 158 de la Ley de Transparencia solicita se autorice el cambio de modalidad de entrega de la información a consulta directa.</w:t>
      </w:r>
    </w:p>
    <w:p w:rsidR="003317AF" w:rsidRPr="005A41D4" w:rsidRDefault="003317AF" w:rsidP="003317AF">
      <w:pPr>
        <w:pStyle w:val="Prrafodelista"/>
        <w:spacing w:before="240" w:after="240" w:line="360" w:lineRule="auto"/>
        <w:jc w:val="both"/>
        <w:rPr>
          <w:rFonts w:ascii="Palatino Linotype" w:hAnsi="Palatino Linotype"/>
          <w:color w:val="000000" w:themeColor="text1"/>
          <w:sz w:val="24"/>
          <w:szCs w:val="23"/>
        </w:rPr>
      </w:pPr>
      <w:r w:rsidRPr="005A41D4">
        <w:rPr>
          <w:rFonts w:ascii="Palatino Linotype" w:hAnsi="Palatino Linotype"/>
          <w:color w:val="000000" w:themeColor="text1"/>
          <w:sz w:val="24"/>
          <w:szCs w:val="23"/>
        </w:rPr>
        <w:t>Refiriendo que pondrá a disposición del impetrante la información para su consulta, ocultando los datos personales, dichas consultas se realizaran en parcialidades en el Modulo de Acceso de la Unidad de Transparencia de la Secretaría de Finanzas, proporcionado la dirección, horario y fechas de consulta de la información.</w:t>
      </w:r>
    </w:p>
    <w:p w:rsidR="003317AF" w:rsidRPr="005A41D4" w:rsidRDefault="003317AF" w:rsidP="003317AF">
      <w:pPr>
        <w:pStyle w:val="Prrafodelista"/>
        <w:spacing w:before="240" w:after="240" w:line="360" w:lineRule="auto"/>
        <w:jc w:val="both"/>
        <w:rPr>
          <w:rFonts w:ascii="Palatino Linotype" w:hAnsi="Palatino Linotype"/>
          <w:color w:val="000000" w:themeColor="text1"/>
          <w:sz w:val="24"/>
          <w:szCs w:val="23"/>
        </w:rPr>
      </w:pPr>
    </w:p>
    <w:p w:rsidR="003317AF" w:rsidRPr="005A41D4" w:rsidRDefault="003317AF" w:rsidP="003317AF">
      <w:pPr>
        <w:pStyle w:val="Prrafodelista"/>
        <w:numPr>
          <w:ilvl w:val="0"/>
          <w:numId w:val="36"/>
        </w:numPr>
        <w:spacing w:before="240" w:after="240" w:line="360" w:lineRule="auto"/>
        <w:contextualSpacing w:val="0"/>
        <w:jc w:val="both"/>
        <w:rPr>
          <w:rFonts w:ascii="Palatino Linotype" w:hAnsi="Palatino Linotype"/>
          <w:color w:val="000000" w:themeColor="text1"/>
          <w:sz w:val="24"/>
          <w:szCs w:val="23"/>
        </w:rPr>
      </w:pPr>
      <w:r w:rsidRPr="005A41D4">
        <w:rPr>
          <w:rFonts w:ascii="Palatino Linotype" w:hAnsi="Palatino Linotype"/>
          <w:color w:val="000000" w:themeColor="text1"/>
          <w:sz w:val="24"/>
          <w:szCs w:val="23"/>
        </w:rPr>
        <w:t>Archivo “</w:t>
      </w:r>
      <w:hyperlink r:id="rId9" w:tgtFrame="_blank" w:history="1">
        <w:r w:rsidRPr="005A41D4">
          <w:rPr>
            <w:rStyle w:val="Hipervnculo"/>
            <w:rFonts w:ascii="Palatino Linotype" w:hAnsi="Palatino Linotype" w:cs="Arial"/>
            <w:b/>
            <w:bCs/>
            <w:color w:val="000000" w:themeColor="text1"/>
            <w:sz w:val="24"/>
            <w:szCs w:val="23"/>
          </w:rPr>
          <w:t>CT-2018-0088.pdf</w:t>
        </w:r>
      </w:hyperlink>
      <w:r w:rsidRPr="005A41D4">
        <w:rPr>
          <w:rFonts w:ascii="Palatino Linotype" w:hAnsi="Palatino Linotype"/>
          <w:color w:val="000000" w:themeColor="text1"/>
          <w:sz w:val="24"/>
          <w:szCs w:val="23"/>
        </w:rPr>
        <w:t>” contiene la resolución número CT-2018-0088 de fecha veintiocho de agosto de la anualidad en curso, emitida por el Comité de Transparencia la Secretaría de Finanzas, con motivo de la clasificación como confidencial de los datos personales contenidos en los documentos que acreditan el monto total que han recibido cada uno de los 75 diputados propietarios de la actual legislatura, como parte del Programa de Apoyo a la Comunidad.</w:t>
      </w:r>
    </w:p>
    <w:p w:rsidR="006D4857" w:rsidRPr="006D4857" w:rsidRDefault="003317AF" w:rsidP="006D4857">
      <w:pPr>
        <w:pStyle w:val="Prrafodelista"/>
        <w:numPr>
          <w:ilvl w:val="0"/>
          <w:numId w:val="36"/>
        </w:numPr>
        <w:spacing w:before="240" w:after="240" w:line="360" w:lineRule="auto"/>
        <w:contextualSpacing w:val="0"/>
        <w:jc w:val="both"/>
        <w:rPr>
          <w:rFonts w:ascii="Palatino Linotype" w:hAnsi="Palatino Linotype"/>
          <w:color w:val="000000" w:themeColor="text1"/>
          <w:sz w:val="24"/>
          <w:szCs w:val="23"/>
        </w:rPr>
      </w:pPr>
      <w:r w:rsidRPr="005A41D4">
        <w:rPr>
          <w:rFonts w:ascii="Palatino Linotype" w:hAnsi="Palatino Linotype"/>
          <w:color w:val="000000" w:themeColor="text1"/>
          <w:sz w:val="24"/>
          <w:szCs w:val="23"/>
        </w:rPr>
        <w:lastRenderedPageBreak/>
        <w:t>Archivo “</w:t>
      </w:r>
      <w:hyperlink r:id="rId10" w:tgtFrame="_blank" w:history="1">
        <w:r w:rsidRPr="005A41D4">
          <w:rPr>
            <w:rStyle w:val="Hipervnculo"/>
            <w:rFonts w:ascii="Palatino Linotype" w:hAnsi="Palatino Linotype" w:cs="Arial"/>
            <w:b/>
            <w:bCs/>
            <w:color w:val="000000" w:themeColor="text1"/>
            <w:sz w:val="24"/>
            <w:szCs w:val="23"/>
          </w:rPr>
          <w:t>00354 UIPPE.pdf</w:t>
        </w:r>
      </w:hyperlink>
      <w:r w:rsidRPr="005A41D4">
        <w:rPr>
          <w:rFonts w:ascii="Palatino Linotype" w:hAnsi="Palatino Linotype"/>
          <w:color w:val="000000" w:themeColor="text1"/>
          <w:sz w:val="24"/>
          <w:szCs w:val="23"/>
        </w:rPr>
        <w:t>” contiene el oficio número 203040000/UT-1711/2018 de fecha veintiocho de agosto del presente año, por medio del cual el Titular de la Unidad de Transparencia del Sujeto Obligado informa a la solicitante que le entrega copia del oficio número 203460100-T-059/2018 emitido por el Servidor Público Habilitado de la Coordinación del Programa de Apoyo a la Comunidad, así como la resolución número CT-2018-0088 de fecha veintiocho de agosto de la anualidad en curso, emitida por el Comité de Transparencia la Secretaría de Finanzas, con motivo de la clasificación como confidencial de los datos personales contenidos en los documentos que acreditan el monto total que han recibido cada uno de los 75 diputados propietarios de la actual legislatura, como parte del Programa de Apoyo a la Comunidad.</w:t>
      </w:r>
    </w:p>
    <w:p w:rsidR="005A41D4" w:rsidRPr="005A41D4" w:rsidRDefault="005A41D4" w:rsidP="007001C1">
      <w:pPr>
        <w:numPr>
          <w:ilvl w:val="0"/>
          <w:numId w:val="27"/>
        </w:numPr>
        <w:spacing w:after="0" w:line="360" w:lineRule="auto"/>
        <w:ind w:left="0" w:firstLine="0"/>
        <w:contextualSpacing/>
        <w:jc w:val="both"/>
        <w:rPr>
          <w:rFonts w:ascii="Palatino Linotype" w:eastAsia="Times New Roman" w:hAnsi="Palatino Linotype" w:cs="Arial"/>
          <w:i/>
          <w:sz w:val="24"/>
          <w:szCs w:val="24"/>
        </w:rPr>
      </w:pPr>
      <w:r w:rsidRPr="005A41D4">
        <w:rPr>
          <w:rFonts w:ascii="Palatino Linotype" w:eastAsia="Times New Roman" w:hAnsi="Palatino Linotype" w:cs="Arial"/>
          <w:sz w:val="24"/>
          <w:szCs w:val="24"/>
        </w:rPr>
        <w:t>En ese sentido</w:t>
      </w:r>
      <w:r w:rsidR="003317AF" w:rsidRPr="005A41D4">
        <w:rPr>
          <w:rFonts w:ascii="Palatino Linotype" w:eastAsia="Times New Roman" w:hAnsi="Palatino Linotype" w:cs="Arial"/>
          <w:sz w:val="24"/>
          <w:szCs w:val="24"/>
        </w:rPr>
        <w:t xml:space="preserve"> </w:t>
      </w:r>
      <w:r w:rsidR="00A75D94" w:rsidRPr="00A75D94">
        <w:rPr>
          <w:rFonts w:ascii="Palatino Linotype" w:eastAsia="Times New Roman" w:hAnsi="Palatino Linotype" w:cs="Arial"/>
          <w:b/>
          <w:sz w:val="24"/>
          <w:szCs w:val="24"/>
          <w:highlight w:val="black"/>
        </w:rPr>
        <w:t>-------------------------------------</w:t>
      </w:r>
      <w:r w:rsidRPr="005A41D4">
        <w:rPr>
          <w:rFonts w:ascii="Palatino Linotype" w:eastAsia="Times New Roman" w:hAnsi="Palatino Linotype" w:cs="Arial"/>
          <w:b/>
          <w:sz w:val="24"/>
          <w:szCs w:val="24"/>
        </w:rPr>
        <w:t xml:space="preserve">, </w:t>
      </w:r>
      <w:r w:rsidRPr="005A41D4">
        <w:rPr>
          <w:rFonts w:ascii="Palatino Linotype" w:eastAsia="Times New Roman" w:hAnsi="Palatino Linotype" w:cs="Arial"/>
          <w:sz w:val="24"/>
          <w:szCs w:val="24"/>
        </w:rPr>
        <w:t xml:space="preserve">manifestó en su recurso de revisión como acto impugnado y razones o motivos </w:t>
      </w:r>
      <w:r>
        <w:rPr>
          <w:rFonts w:ascii="Palatino Linotype" w:eastAsia="Times New Roman" w:hAnsi="Palatino Linotype" w:cs="Arial"/>
          <w:sz w:val="24"/>
          <w:szCs w:val="24"/>
        </w:rPr>
        <w:t xml:space="preserve">de inconformidad, lo siguiente: </w:t>
      </w:r>
    </w:p>
    <w:p w:rsidR="005A41D4" w:rsidRPr="005A41D4" w:rsidRDefault="005A41D4" w:rsidP="005A41D4">
      <w:pPr>
        <w:spacing w:after="0" w:line="360" w:lineRule="auto"/>
        <w:contextualSpacing/>
        <w:jc w:val="both"/>
        <w:rPr>
          <w:rFonts w:ascii="Palatino Linotype" w:eastAsia="Times New Roman" w:hAnsi="Palatino Linotype" w:cs="Arial"/>
          <w:i/>
          <w:sz w:val="24"/>
          <w:szCs w:val="24"/>
        </w:rPr>
      </w:pPr>
    </w:p>
    <w:p w:rsidR="005A41D4" w:rsidRPr="00050164" w:rsidRDefault="00050164" w:rsidP="00050164">
      <w:pPr>
        <w:spacing w:line="360" w:lineRule="auto"/>
        <w:rPr>
          <w:rFonts w:ascii="Palatino Linotype" w:hAnsi="Palatino Linotype" w:cs="Arial"/>
          <w:b/>
          <w:sz w:val="24"/>
        </w:rPr>
      </w:pPr>
      <w:r>
        <w:rPr>
          <w:rFonts w:ascii="Palatino Linotype" w:hAnsi="Palatino Linotype" w:cs="Arial"/>
          <w:b/>
          <w:sz w:val="24"/>
        </w:rPr>
        <w:t xml:space="preserve">a) Acto impugnado: </w:t>
      </w:r>
      <w:r w:rsidR="005A41D4" w:rsidRPr="00412BF6">
        <w:rPr>
          <w:rFonts w:ascii="Palatino Linotype" w:hAnsi="Palatino Linotype" w:cs="Arial"/>
          <w:i/>
        </w:rPr>
        <w:t>“</w:t>
      </w:r>
      <w:r w:rsidR="005A41D4" w:rsidRPr="00F20964">
        <w:rPr>
          <w:rFonts w:ascii="Palatino Linotype" w:hAnsi="Palatino Linotype"/>
          <w:i/>
        </w:rPr>
        <w:t xml:space="preserve">IMPUGNO ESTAS RESPUESTAS, NO SATISFACEN MIS INTERROGANTES. EN NIGÚN MOMENTO PEDÍ LOS DATOS PERSONALES DE NADIE, SOLO EL </w:t>
      </w:r>
      <w:r w:rsidR="005A41D4" w:rsidRPr="00050164">
        <w:rPr>
          <w:rFonts w:ascii="Palatino Linotype" w:hAnsi="Palatino Linotype"/>
          <w:b/>
          <w:i/>
        </w:rPr>
        <w:t>MONTO TOTAL QUE HA OBTENIDO CADA UNO DE LOS DIPUTADOS</w:t>
      </w:r>
      <w:r w:rsidR="005A41D4" w:rsidRPr="00F20964">
        <w:rPr>
          <w:rFonts w:ascii="Palatino Linotype" w:hAnsi="Palatino Linotype"/>
          <w:i/>
        </w:rPr>
        <w:t xml:space="preserve"> COMO PARTE DEL PAC, DURANTE LOS TRES AÑOS DE SU GESTIÓN. 00354 PAC.pdf CT-2018-0088.pdf 00354 UIPPE.pdf</w:t>
      </w:r>
      <w:r w:rsidR="005A41D4" w:rsidRPr="00412BF6">
        <w:rPr>
          <w:rFonts w:ascii="Palatino Linotype" w:hAnsi="Palatino Linotype"/>
          <w:i/>
        </w:rPr>
        <w:t>.</w:t>
      </w:r>
      <w:r w:rsidR="005A41D4" w:rsidRPr="00412BF6">
        <w:rPr>
          <w:rFonts w:ascii="Palatino Linotype" w:hAnsi="Palatino Linotype" w:cs="Arial"/>
          <w:i/>
        </w:rPr>
        <w:t>” (</w:t>
      </w:r>
      <w:proofErr w:type="gramStart"/>
      <w:r w:rsidR="005A41D4" w:rsidRPr="00412BF6">
        <w:rPr>
          <w:rFonts w:ascii="Palatino Linotype" w:hAnsi="Palatino Linotype" w:cs="Arial"/>
          <w:i/>
        </w:rPr>
        <w:t>sic</w:t>
      </w:r>
      <w:proofErr w:type="gramEnd"/>
      <w:r w:rsidR="005A41D4" w:rsidRPr="00412BF6">
        <w:rPr>
          <w:rFonts w:ascii="Palatino Linotype" w:hAnsi="Palatino Linotype" w:cs="Arial"/>
          <w:i/>
        </w:rPr>
        <w:t>)</w:t>
      </w:r>
    </w:p>
    <w:p w:rsidR="00A02411" w:rsidRPr="00412BF6" w:rsidRDefault="00A02411" w:rsidP="005A41D4">
      <w:pPr>
        <w:spacing w:before="240" w:after="240"/>
        <w:ind w:left="992" w:right="1043"/>
        <w:jc w:val="both"/>
        <w:rPr>
          <w:rFonts w:ascii="Palatino Linotype" w:hAnsi="Palatino Linotype" w:cs="Arial"/>
          <w:i/>
        </w:rPr>
      </w:pPr>
    </w:p>
    <w:p w:rsidR="005A41D4" w:rsidRPr="00050164" w:rsidRDefault="00050164" w:rsidP="00050164">
      <w:pPr>
        <w:spacing w:line="360" w:lineRule="auto"/>
        <w:jc w:val="both"/>
        <w:rPr>
          <w:rFonts w:ascii="Palatino Linotype" w:hAnsi="Palatino Linotype" w:cs="Arial"/>
          <w:b/>
          <w:sz w:val="24"/>
        </w:rPr>
      </w:pPr>
      <w:r>
        <w:rPr>
          <w:rFonts w:ascii="Palatino Linotype" w:hAnsi="Palatino Linotype" w:cs="Arial"/>
          <w:b/>
          <w:sz w:val="24"/>
        </w:rPr>
        <w:lastRenderedPageBreak/>
        <w:t xml:space="preserve">b) Motivos de inconformidad: </w:t>
      </w:r>
      <w:r w:rsidR="005A41D4" w:rsidRPr="00412BF6">
        <w:rPr>
          <w:rFonts w:ascii="Palatino Linotype" w:hAnsi="Palatino Linotype" w:cs="Arial"/>
          <w:i/>
        </w:rPr>
        <w:t>“</w:t>
      </w:r>
      <w:r w:rsidR="005A41D4" w:rsidRPr="00050164">
        <w:rPr>
          <w:rFonts w:ascii="Palatino Linotype" w:hAnsi="Palatino Linotype"/>
          <w:b/>
          <w:i/>
          <w:u w:val="single"/>
        </w:rPr>
        <w:t>No soy experta en el tema de transparencia</w:t>
      </w:r>
      <w:r w:rsidR="005A41D4" w:rsidRPr="00F20964">
        <w:rPr>
          <w:rFonts w:ascii="Palatino Linotype" w:hAnsi="Palatino Linotype"/>
          <w:i/>
        </w:rPr>
        <w:t xml:space="preserve">, pero creo que fui clara en mi solicitud de información. </w:t>
      </w:r>
      <w:proofErr w:type="gramStart"/>
      <w:r w:rsidR="005A41D4" w:rsidRPr="00F20964">
        <w:rPr>
          <w:rFonts w:ascii="Palatino Linotype" w:hAnsi="Palatino Linotype"/>
          <w:i/>
        </w:rPr>
        <w:t>no</w:t>
      </w:r>
      <w:proofErr w:type="gramEnd"/>
      <w:r w:rsidR="005A41D4" w:rsidRPr="00F20964">
        <w:rPr>
          <w:rFonts w:ascii="Palatino Linotype" w:hAnsi="Palatino Linotype"/>
          <w:i/>
        </w:rPr>
        <w:t xml:space="preserve"> estoy pidiendo los datos personales ni confidenciales de nadie, solo el monto que han obtenido -a través de este programa- cada uno de los 75 diputados. Estoy pidiendo oficios emitidos por la Secretaría de Finanzas del Estado de México, donde se </w:t>
      </w:r>
      <w:proofErr w:type="spellStart"/>
      <w:r w:rsidR="005A41D4" w:rsidRPr="00F20964">
        <w:rPr>
          <w:rFonts w:ascii="Palatino Linotype" w:hAnsi="Palatino Linotype"/>
          <w:i/>
        </w:rPr>
        <w:t>de</w:t>
      </w:r>
      <w:proofErr w:type="spellEnd"/>
      <w:r w:rsidR="005A41D4" w:rsidRPr="00F20964">
        <w:rPr>
          <w:rFonts w:ascii="Palatino Linotype" w:hAnsi="Palatino Linotype"/>
          <w:i/>
        </w:rPr>
        <w:t xml:space="preserve"> a conocer el monto asignado a cada uno de los actuales diputados a una días de que concluyan sus cargos. Pido copias donde se </w:t>
      </w:r>
      <w:proofErr w:type="spellStart"/>
      <w:r w:rsidR="005A41D4" w:rsidRPr="00F20964">
        <w:rPr>
          <w:rFonts w:ascii="Palatino Linotype" w:hAnsi="Palatino Linotype"/>
          <w:i/>
        </w:rPr>
        <w:t>de</w:t>
      </w:r>
      <w:proofErr w:type="spellEnd"/>
      <w:r w:rsidR="005A41D4" w:rsidRPr="00F20964">
        <w:rPr>
          <w:rFonts w:ascii="Palatino Linotype" w:hAnsi="Palatino Linotype"/>
          <w:i/>
        </w:rPr>
        <w:t xml:space="preserve"> a conocer el monto TOTAL que a cada legislador recibió cada uno de los tres años que fungieron como legisladores</w:t>
      </w:r>
      <w:r w:rsidR="005A41D4" w:rsidRPr="00412BF6">
        <w:rPr>
          <w:rFonts w:ascii="Palatino Linotype" w:hAnsi="Palatino Linotype"/>
          <w:i/>
        </w:rPr>
        <w:t>.</w:t>
      </w:r>
      <w:r w:rsidR="005A41D4" w:rsidRPr="00412BF6">
        <w:rPr>
          <w:rFonts w:ascii="Palatino Linotype" w:hAnsi="Palatino Linotype" w:cs="Arial"/>
          <w:i/>
        </w:rPr>
        <w:t>” (</w:t>
      </w:r>
      <w:proofErr w:type="gramStart"/>
      <w:r w:rsidR="005A41D4" w:rsidRPr="00412BF6">
        <w:rPr>
          <w:rFonts w:ascii="Palatino Linotype" w:hAnsi="Palatino Linotype" w:cs="Arial"/>
          <w:i/>
        </w:rPr>
        <w:t>sic</w:t>
      </w:r>
      <w:proofErr w:type="gramEnd"/>
      <w:r w:rsidR="005A41D4" w:rsidRPr="00412BF6">
        <w:rPr>
          <w:rFonts w:ascii="Palatino Linotype" w:hAnsi="Palatino Linotype" w:cs="Arial"/>
          <w:i/>
        </w:rPr>
        <w:t>)</w:t>
      </w:r>
    </w:p>
    <w:p w:rsidR="005A41D4" w:rsidRPr="005A41D4" w:rsidRDefault="005A41D4" w:rsidP="005A41D4">
      <w:pPr>
        <w:spacing w:after="0" w:line="360" w:lineRule="auto"/>
        <w:contextualSpacing/>
        <w:jc w:val="both"/>
        <w:rPr>
          <w:rFonts w:ascii="Palatino Linotype" w:eastAsia="Times New Roman" w:hAnsi="Palatino Linotype" w:cs="Arial"/>
          <w:i/>
          <w:sz w:val="24"/>
          <w:szCs w:val="24"/>
        </w:rPr>
      </w:pPr>
    </w:p>
    <w:p w:rsidR="005A41D4" w:rsidRPr="005A41D4" w:rsidRDefault="005A41D4" w:rsidP="007001C1">
      <w:pPr>
        <w:numPr>
          <w:ilvl w:val="0"/>
          <w:numId w:val="27"/>
        </w:numPr>
        <w:spacing w:after="0" w:line="360" w:lineRule="auto"/>
        <w:ind w:left="0" w:firstLine="0"/>
        <w:contextualSpacing/>
        <w:jc w:val="both"/>
        <w:rPr>
          <w:rFonts w:ascii="Palatino Linotype" w:eastAsia="Times New Roman" w:hAnsi="Palatino Linotype" w:cs="Arial"/>
          <w:i/>
          <w:sz w:val="24"/>
          <w:szCs w:val="24"/>
        </w:rPr>
      </w:pPr>
      <w:r>
        <w:rPr>
          <w:rFonts w:ascii="Palatino Linotype" w:eastAsia="Times New Roman" w:hAnsi="Palatino Linotype" w:cs="Arial"/>
          <w:sz w:val="24"/>
          <w:szCs w:val="24"/>
        </w:rPr>
        <w:t xml:space="preserve">Subsecuentemente el Sujeto Obligado anexó como informe justificado los siguientes documentos: </w:t>
      </w:r>
    </w:p>
    <w:p w:rsidR="005A41D4" w:rsidRPr="005A41D4" w:rsidRDefault="005A41D4" w:rsidP="005A41D4">
      <w:pPr>
        <w:spacing w:after="0" w:line="360" w:lineRule="auto"/>
        <w:contextualSpacing/>
        <w:jc w:val="both"/>
        <w:rPr>
          <w:rFonts w:ascii="Palatino Linotype" w:eastAsia="Times New Roman" w:hAnsi="Palatino Linotype" w:cs="Arial"/>
          <w:i/>
          <w:sz w:val="24"/>
          <w:szCs w:val="24"/>
        </w:rPr>
      </w:pPr>
    </w:p>
    <w:p w:rsidR="005A41D4" w:rsidRPr="005A41D4" w:rsidRDefault="00B71AC1" w:rsidP="005A41D4">
      <w:pPr>
        <w:pStyle w:val="Prrafodelista"/>
        <w:numPr>
          <w:ilvl w:val="0"/>
          <w:numId w:val="38"/>
        </w:numPr>
        <w:spacing w:after="0" w:line="360" w:lineRule="auto"/>
        <w:ind w:left="567" w:right="616" w:firstLine="0"/>
        <w:jc w:val="both"/>
        <w:rPr>
          <w:rFonts w:ascii="Palatino Linotype" w:eastAsia="Times New Roman" w:hAnsi="Palatino Linotype" w:cs="Arial"/>
          <w:color w:val="000000" w:themeColor="text1"/>
          <w:sz w:val="24"/>
          <w:szCs w:val="24"/>
          <w:lang w:val="es-ES"/>
        </w:rPr>
      </w:pPr>
      <w:hyperlink r:id="rId11" w:history="1">
        <w:r w:rsidR="005A41D4" w:rsidRPr="005A41D4">
          <w:rPr>
            <w:rStyle w:val="Hipervnculo"/>
            <w:rFonts w:ascii="Palatino Linotype" w:eastAsia="Times New Roman" w:hAnsi="Palatino Linotype" w:cs="Arial"/>
            <w:b/>
            <w:bCs/>
            <w:color w:val="000000" w:themeColor="text1"/>
            <w:sz w:val="24"/>
            <w:szCs w:val="24"/>
            <w:lang w:val="es-ES"/>
          </w:rPr>
          <w:t>3184 PAC.pdf</w:t>
        </w:r>
      </w:hyperlink>
      <w:r w:rsidR="005A41D4" w:rsidRPr="005A41D4">
        <w:rPr>
          <w:rFonts w:ascii="Palatino Linotype" w:eastAsia="Times New Roman" w:hAnsi="Palatino Linotype" w:cs="Arial"/>
          <w:color w:val="000000" w:themeColor="text1"/>
          <w:sz w:val="24"/>
          <w:szCs w:val="24"/>
        </w:rPr>
        <w:t xml:space="preserve">: </w:t>
      </w:r>
      <w:r w:rsidR="005A41D4" w:rsidRPr="005A41D4">
        <w:rPr>
          <w:rFonts w:ascii="Palatino Linotype" w:eastAsia="Times New Roman" w:hAnsi="Palatino Linotype" w:cs="Arial"/>
          <w:color w:val="000000" w:themeColor="text1"/>
          <w:sz w:val="24"/>
          <w:szCs w:val="24"/>
          <w:lang w:val="es-ES"/>
        </w:rPr>
        <w:t>Contiene el oficio número 203460100-T-063/2018 por medio del cual el Servidor Público Habilitado de la Coordinación del Programa de Apoyo a la Comunidad informa al Titular de la Unidad de Transparencia que el presupuesto anual asignado al Programa de Apoyo a la Comunidad es de $187, 500, 000.00 correspondiéndoles a cada uno de los 75 diputados $2,500,000.00, agregando que se encuentra de manera pública en el Presupuesto de Egresos del Gobierno del Estado de México del ejercicio fiscal correspondiente a los años 2016, 2017 y 2018, publicados en Gaceta Oficial al inicio de cada ejercicio, proporcionando las direcciones electrónicas siguientes:</w:t>
      </w:r>
    </w:p>
    <w:p w:rsidR="005A41D4" w:rsidRPr="005A41D4" w:rsidRDefault="005A41D4" w:rsidP="005A41D4">
      <w:pPr>
        <w:spacing w:after="0" w:line="360" w:lineRule="auto"/>
        <w:ind w:left="567" w:right="616"/>
        <w:contextualSpacing/>
        <w:jc w:val="both"/>
        <w:rPr>
          <w:rFonts w:ascii="Palatino Linotype" w:eastAsia="Times New Roman" w:hAnsi="Palatino Linotype" w:cs="Arial"/>
          <w:color w:val="000000" w:themeColor="text1"/>
          <w:sz w:val="24"/>
          <w:szCs w:val="24"/>
          <w:lang w:val="es-ES"/>
        </w:rPr>
      </w:pPr>
    </w:p>
    <w:p w:rsidR="005A41D4" w:rsidRPr="005A41D4" w:rsidRDefault="005A41D4" w:rsidP="005A41D4">
      <w:pPr>
        <w:spacing w:after="0" w:line="360" w:lineRule="auto"/>
        <w:ind w:left="567" w:right="616"/>
        <w:contextualSpacing/>
        <w:jc w:val="both"/>
        <w:rPr>
          <w:rFonts w:ascii="Palatino Linotype" w:eastAsia="Times New Roman" w:hAnsi="Palatino Linotype" w:cs="Arial"/>
          <w:color w:val="000000" w:themeColor="text1"/>
          <w:sz w:val="24"/>
          <w:szCs w:val="24"/>
        </w:rPr>
      </w:pPr>
      <w:r w:rsidRPr="005A41D4">
        <w:rPr>
          <w:rFonts w:ascii="Palatino Linotype" w:eastAsia="Times New Roman" w:hAnsi="Palatino Linotype" w:cs="Arial"/>
          <w:color w:val="000000" w:themeColor="text1"/>
          <w:sz w:val="24"/>
          <w:szCs w:val="24"/>
        </w:rPr>
        <w:lastRenderedPageBreak/>
        <w:t xml:space="preserve">Presupuesto de Egresos del Estado de México 2018, </w:t>
      </w:r>
      <w:hyperlink r:id="rId12" w:history="1">
        <w:r w:rsidRPr="005A41D4">
          <w:rPr>
            <w:rStyle w:val="Hipervnculo"/>
            <w:rFonts w:ascii="Palatino Linotype" w:eastAsia="Times New Roman" w:hAnsi="Palatino Linotype" w:cs="Arial"/>
            <w:color w:val="000000" w:themeColor="text1"/>
            <w:sz w:val="24"/>
            <w:szCs w:val="24"/>
          </w:rPr>
          <w:t>http://legislacion.edomex.gob.mx/sites/legislacion.edomex.gob.mx/files/files/pdf/gct/2017/dic157.pdf, en el artículo 23</w:t>
        </w:r>
      </w:hyperlink>
      <w:r w:rsidRPr="005A41D4">
        <w:rPr>
          <w:rFonts w:ascii="Palatino Linotype" w:eastAsia="Times New Roman" w:hAnsi="Palatino Linotype" w:cs="Arial"/>
          <w:color w:val="000000" w:themeColor="text1"/>
          <w:sz w:val="24"/>
          <w:szCs w:val="24"/>
        </w:rPr>
        <w:t xml:space="preserve"> párrafo noveno de la página 18.</w:t>
      </w:r>
    </w:p>
    <w:p w:rsidR="005A41D4" w:rsidRPr="005A41D4" w:rsidRDefault="005A41D4" w:rsidP="005A41D4">
      <w:pPr>
        <w:spacing w:after="0" w:line="360" w:lineRule="auto"/>
        <w:ind w:left="567" w:right="616"/>
        <w:contextualSpacing/>
        <w:jc w:val="both"/>
        <w:rPr>
          <w:rFonts w:ascii="Palatino Linotype" w:eastAsia="Times New Roman" w:hAnsi="Palatino Linotype" w:cs="Arial"/>
          <w:color w:val="000000" w:themeColor="text1"/>
          <w:sz w:val="24"/>
          <w:szCs w:val="24"/>
        </w:rPr>
      </w:pPr>
      <w:r w:rsidRPr="005A41D4">
        <w:rPr>
          <w:rFonts w:ascii="Palatino Linotype" w:eastAsia="Times New Roman" w:hAnsi="Palatino Linotype" w:cs="Arial"/>
          <w:color w:val="000000" w:themeColor="text1"/>
          <w:sz w:val="24"/>
          <w:szCs w:val="24"/>
        </w:rPr>
        <w:t xml:space="preserve">Presupuesto de Egresos del Estado de México 2017, </w:t>
      </w:r>
      <w:hyperlink r:id="rId13" w:history="1">
        <w:r w:rsidRPr="005A41D4">
          <w:rPr>
            <w:rStyle w:val="Hipervnculo"/>
            <w:rFonts w:ascii="Palatino Linotype" w:eastAsia="Times New Roman" w:hAnsi="Palatino Linotype" w:cs="Arial"/>
            <w:color w:val="000000" w:themeColor="text1"/>
            <w:sz w:val="24"/>
            <w:szCs w:val="24"/>
          </w:rPr>
          <w:t>http://legislacion.edomex.gob.mx/sites/legislacion.edomex.gob.mx/files/files/pdf/gct/2016/nov283.pdf, en el artículo 23</w:t>
        </w:r>
      </w:hyperlink>
      <w:r w:rsidRPr="005A41D4">
        <w:rPr>
          <w:rFonts w:ascii="Palatino Linotype" w:eastAsia="Times New Roman" w:hAnsi="Palatino Linotype" w:cs="Arial"/>
          <w:color w:val="000000" w:themeColor="text1"/>
          <w:sz w:val="24"/>
          <w:szCs w:val="24"/>
        </w:rPr>
        <w:t xml:space="preserve"> párrafo octavo de la página 77.</w:t>
      </w:r>
    </w:p>
    <w:p w:rsidR="005A41D4" w:rsidRDefault="005A41D4" w:rsidP="005A41D4">
      <w:pPr>
        <w:spacing w:after="0" w:line="360" w:lineRule="auto"/>
        <w:ind w:left="567" w:right="616"/>
        <w:contextualSpacing/>
        <w:jc w:val="both"/>
        <w:rPr>
          <w:rFonts w:ascii="Palatino Linotype" w:eastAsia="Times New Roman" w:hAnsi="Palatino Linotype" w:cs="Arial"/>
          <w:color w:val="000000" w:themeColor="text1"/>
          <w:sz w:val="24"/>
          <w:szCs w:val="24"/>
        </w:rPr>
      </w:pPr>
      <w:r w:rsidRPr="005A41D4">
        <w:rPr>
          <w:rFonts w:ascii="Palatino Linotype" w:eastAsia="Times New Roman" w:hAnsi="Palatino Linotype" w:cs="Arial"/>
          <w:color w:val="000000" w:themeColor="text1"/>
          <w:sz w:val="24"/>
          <w:szCs w:val="24"/>
        </w:rPr>
        <w:t xml:space="preserve">Presupuesto de Egresos del Estado de México 2016, </w:t>
      </w:r>
      <w:hyperlink r:id="rId14" w:history="1">
        <w:r w:rsidRPr="005A41D4">
          <w:rPr>
            <w:rStyle w:val="Hipervnculo"/>
            <w:rFonts w:ascii="Palatino Linotype" w:eastAsia="Times New Roman" w:hAnsi="Palatino Linotype" w:cs="Arial"/>
            <w:color w:val="000000" w:themeColor="text1"/>
            <w:sz w:val="24"/>
            <w:szCs w:val="24"/>
          </w:rPr>
          <w:t xml:space="preserve">http://legislacion.edomex.gob.mx/sites/legislacion.edomex.gob.mx/files/files/pdf/gct/2015/nov193.PDF, en el artículo </w:t>
        </w:r>
      </w:hyperlink>
      <w:r w:rsidRPr="005A41D4">
        <w:rPr>
          <w:rFonts w:ascii="Palatino Linotype" w:eastAsia="Times New Roman" w:hAnsi="Palatino Linotype" w:cs="Arial"/>
          <w:color w:val="000000" w:themeColor="text1"/>
          <w:sz w:val="24"/>
          <w:szCs w:val="24"/>
        </w:rPr>
        <w:t>17, párrafo octavo, de la página 71.</w:t>
      </w:r>
    </w:p>
    <w:p w:rsidR="005A41D4" w:rsidRPr="005A41D4" w:rsidRDefault="005A41D4" w:rsidP="005A41D4">
      <w:pPr>
        <w:spacing w:after="0" w:line="360" w:lineRule="auto"/>
        <w:ind w:left="567" w:right="616"/>
        <w:contextualSpacing/>
        <w:jc w:val="both"/>
        <w:rPr>
          <w:rFonts w:ascii="Palatino Linotype" w:eastAsia="Times New Roman" w:hAnsi="Palatino Linotype" w:cs="Arial"/>
          <w:color w:val="000000" w:themeColor="text1"/>
          <w:sz w:val="24"/>
          <w:szCs w:val="24"/>
        </w:rPr>
      </w:pPr>
    </w:p>
    <w:p w:rsidR="005A41D4" w:rsidRPr="005A41D4" w:rsidRDefault="00B71AC1" w:rsidP="005A41D4">
      <w:pPr>
        <w:pStyle w:val="Prrafodelista"/>
        <w:numPr>
          <w:ilvl w:val="0"/>
          <w:numId w:val="38"/>
        </w:numPr>
        <w:spacing w:after="0" w:line="360" w:lineRule="auto"/>
        <w:ind w:left="567" w:right="616" w:firstLine="0"/>
        <w:jc w:val="both"/>
        <w:rPr>
          <w:rFonts w:ascii="Palatino Linotype" w:eastAsia="Times New Roman" w:hAnsi="Palatino Linotype" w:cs="Arial"/>
          <w:color w:val="000000" w:themeColor="text1"/>
          <w:sz w:val="24"/>
          <w:szCs w:val="24"/>
        </w:rPr>
      </w:pPr>
      <w:hyperlink r:id="rId15" w:history="1">
        <w:r w:rsidR="005A41D4" w:rsidRPr="005A41D4">
          <w:rPr>
            <w:rStyle w:val="Hipervnculo"/>
            <w:rFonts w:ascii="Palatino Linotype" w:eastAsia="Times New Roman" w:hAnsi="Palatino Linotype" w:cs="Arial"/>
            <w:b/>
            <w:bCs/>
            <w:color w:val="000000" w:themeColor="text1"/>
            <w:sz w:val="24"/>
            <w:szCs w:val="24"/>
            <w:lang w:val="es-ES"/>
          </w:rPr>
          <w:t>INFORME JUSTIFICADO 3184-2018.pdf</w:t>
        </w:r>
      </w:hyperlink>
      <w:r w:rsidR="005A41D4" w:rsidRPr="005A41D4">
        <w:rPr>
          <w:rFonts w:ascii="Palatino Linotype" w:eastAsia="Times New Roman" w:hAnsi="Palatino Linotype" w:cs="Arial"/>
          <w:color w:val="000000" w:themeColor="text1"/>
          <w:sz w:val="24"/>
          <w:szCs w:val="24"/>
        </w:rPr>
        <w:t xml:space="preserve">:  </w:t>
      </w:r>
      <w:r w:rsidR="005A41D4" w:rsidRPr="005A41D4">
        <w:rPr>
          <w:rFonts w:ascii="Palatino Linotype" w:eastAsia="Times New Roman" w:hAnsi="Palatino Linotype" w:cs="Arial"/>
          <w:color w:val="000000" w:themeColor="text1"/>
          <w:sz w:val="24"/>
          <w:szCs w:val="24"/>
          <w:lang w:val="es-ES"/>
        </w:rPr>
        <w:t xml:space="preserve">Contiene el oficio por medio del cual el Titular de la Unidad de Transparencia rinde informe justificado, manifestando entre otras cosas que el Servidor Público Habilitado de la Coordinación  del Programa de Apoyo a la Comunidad mediante el oficio 203460100-T-063/2018 proporcionó los enlaces correspondientes a los presupuestos de egresos del Estado de México de los ejercicios fiscales 2016, 2017 y 2018, de los cuales se advierte que fue asignado al Programa de Apoyo a la Comunidad la cantidad de $187,500,000.00 que provienen del Programa Acciones para el Desarrollo; </w:t>
      </w:r>
      <w:r w:rsidR="005A41D4" w:rsidRPr="005A41D4">
        <w:rPr>
          <w:rFonts w:ascii="Palatino Linotype" w:eastAsia="Times New Roman" w:hAnsi="Palatino Linotype" w:cs="Arial"/>
          <w:color w:val="000000" w:themeColor="text1"/>
          <w:sz w:val="24"/>
          <w:szCs w:val="24"/>
          <w:lang w:val="es-ES"/>
        </w:rPr>
        <w:lastRenderedPageBreak/>
        <w:t>asimismo, agrega que le corresponde a cada uno de los 75 diputados la cantidad de $2,500,000.00, motivo por el cual dicha información satisface la solicitud de la impetrante y solicita se sobresea el presente medio de impugnación con base en lo establecido en el artículo 192 fracción III de la Ley de Transparencia vigente en la entidad federativa.</w:t>
      </w:r>
    </w:p>
    <w:p w:rsidR="005A41D4" w:rsidRPr="005A41D4" w:rsidRDefault="005A41D4" w:rsidP="005A41D4">
      <w:pPr>
        <w:spacing w:after="0" w:line="360" w:lineRule="auto"/>
        <w:contextualSpacing/>
        <w:jc w:val="both"/>
        <w:rPr>
          <w:rFonts w:ascii="Palatino Linotype" w:eastAsia="Times New Roman" w:hAnsi="Palatino Linotype" w:cs="Arial"/>
          <w:i/>
          <w:sz w:val="24"/>
          <w:szCs w:val="24"/>
        </w:rPr>
      </w:pPr>
    </w:p>
    <w:p w:rsidR="009F2B4A" w:rsidRPr="005A41D4" w:rsidRDefault="005A41D4" w:rsidP="007001C1">
      <w:pPr>
        <w:numPr>
          <w:ilvl w:val="0"/>
          <w:numId w:val="27"/>
        </w:numPr>
        <w:spacing w:after="0" w:line="360" w:lineRule="auto"/>
        <w:ind w:left="0" w:firstLine="0"/>
        <w:contextualSpacing/>
        <w:jc w:val="both"/>
        <w:rPr>
          <w:rFonts w:ascii="Palatino Linotype" w:eastAsia="Times New Roman" w:hAnsi="Palatino Linotype" w:cs="Arial"/>
          <w:i/>
          <w:sz w:val="24"/>
          <w:szCs w:val="24"/>
        </w:rPr>
      </w:pPr>
      <w:r>
        <w:rPr>
          <w:rFonts w:ascii="Palatino Linotype" w:eastAsia="Calibri" w:hAnsi="Palatino Linotype" w:cs="Arial"/>
          <w:sz w:val="24"/>
          <w:szCs w:val="24"/>
        </w:rPr>
        <w:t xml:space="preserve">Una vez precisado lo anterior </w:t>
      </w:r>
      <w:r w:rsidR="003F3341" w:rsidRPr="005A41D4">
        <w:rPr>
          <w:rFonts w:ascii="Palatino Linotype" w:eastAsia="Calibri" w:hAnsi="Palatino Linotype" w:cs="Arial"/>
          <w:sz w:val="24"/>
          <w:szCs w:val="24"/>
        </w:rPr>
        <w:t>el</w:t>
      </w:r>
      <w:r>
        <w:rPr>
          <w:rFonts w:ascii="Palatino Linotype" w:eastAsia="Calibri" w:hAnsi="Palatino Linotype" w:cs="Arial"/>
          <w:sz w:val="24"/>
          <w:szCs w:val="24"/>
        </w:rPr>
        <w:t xml:space="preserve"> Comisionado P</w:t>
      </w:r>
      <w:r w:rsidR="003F3341" w:rsidRPr="005A41D4">
        <w:rPr>
          <w:rFonts w:ascii="Palatino Linotype" w:eastAsia="Calibri" w:hAnsi="Palatino Linotype" w:cs="Arial"/>
          <w:sz w:val="24"/>
          <w:szCs w:val="24"/>
        </w:rPr>
        <w:t xml:space="preserve">onente </w:t>
      </w:r>
      <w:r w:rsidR="003F3341" w:rsidRPr="005A41D4">
        <w:rPr>
          <w:rFonts w:ascii="Palatino Linotype" w:hAnsi="Palatino Linotype" w:cs="Arial"/>
          <w:sz w:val="24"/>
          <w:szCs w:val="24"/>
        </w:rPr>
        <w:t xml:space="preserve">observó que el </w:t>
      </w:r>
      <w:r w:rsidR="003F3341" w:rsidRPr="005A41D4">
        <w:rPr>
          <w:rFonts w:ascii="Palatino Linotype" w:hAnsi="Palatino Linotype" w:cs="Arial"/>
          <w:b/>
          <w:sz w:val="24"/>
          <w:szCs w:val="24"/>
        </w:rPr>
        <w:t xml:space="preserve">SUJETO OBLIGADO </w:t>
      </w:r>
      <w:r w:rsidR="0026750B" w:rsidRPr="005A41D4">
        <w:rPr>
          <w:rFonts w:ascii="Palatino Linotype" w:hAnsi="Palatino Linotype" w:cs="Arial"/>
          <w:sz w:val="24"/>
          <w:szCs w:val="24"/>
        </w:rPr>
        <w:t>modificó su respuesta inicial mediante informe justificado  por lo que</w:t>
      </w:r>
      <w:r w:rsidR="001F2B15">
        <w:rPr>
          <w:rFonts w:ascii="Palatino Linotype" w:hAnsi="Palatino Linotype" w:cs="Arial"/>
          <w:sz w:val="24"/>
          <w:szCs w:val="24"/>
        </w:rPr>
        <w:t xml:space="preserve"> a su consideración, </w:t>
      </w:r>
      <w:r w:rsidR="0026750B" w:rsidRPr="005A41D4">
        <w:rPr>
          <w:rFonts w:ascii="Palatino Linotype" w:hAnsi="Palatino Linotype" w:cs="Arial"/>
          <w:sz w:val="24"/>
          <w:szCs w:val="24"/>
        </w:rPr>
        <w:t xml:space="preserve"> quedó satisfecha </w:t>
      </w:r>
      <w:r w:rsidR="003F3341" w:rsidRPr="005A41D4">
        <w:rPr>
          <w:rFonts w:ascii="Palatino Linotype" w:hAnsi="Palatino Linotype" w:cs="Arial"/>
          <w:sz w:val="24"/>
          <w:szCs w:val="24"/>
        </w:rPr>
        <w:t xml:space="preserve">la solicitud de información </w:t>
      </w:r>
      <w:r w:rsidR="0026750B" w:rsidRPr="005A41D4">
        <w:rPr>
          <w:rFonts w:ascii="Palatino Linotype" w:hAnsi="Palatino Linotype" w:cs="Arial"/>
          <w:sz w:val="24"/>
          <w:szCs w:val="24"/>
        </w:rPr>
        <w:t xml:space="preserve">realizada </w:t>
      </w:r>
      <w:r>
        <w:rPr>
          <w:rFonts w:ascii="Palatino Linotype" w:hAnsi="Palatino Linotype" w:cs="Arial"/>
          <w:sz w:val="24"/>
          <w:szCs w:val="24"/>
        </w:rPr>
        <w:t xml:space="preserve">y se Sobreseyó el recurso de revisión. </w:t>
      </w:r>
    </w:p>
    <w:p w:rsidR="009F2B4A" w:rsidRDefault="009F2B4A" w:rsidP="009F2B4A">
      <w:pPr>
        <w:spacing w:after="0" w:line="360" w:lineRule="auto"/>
        <w:contextualSpacing/>
        <w:jc w:val="both"/>
        <w:rPr>
          <w:rFonts w:ascii="Palatino Linotype" w:eastAsia="Times New Roman" w:hAnsi="Palatino Linotype" w:cs="Arial"/>
          <w:i/>
          <w:sz w:val="24"/>
          <w:szCs w:val="24"/>
        </w:rPr>
      </w:pPr>
    </w:p>
    <w:p w:rsidR="009F2B4A" w:rsidRPr="009F2B4A" w:rsidRDefault="00151340" w:rsidP="009F2B4A">
      <w:pPr>
        <w:numPr>
          <w:ilvl w:val="0"/>
          <w:numId w:val="27"/>
        </w:numPr>
        <w:spacing w:after="0" w:line="360" w:lineRule="auto"/>
        <w:ind w:left="0" w:firstLine="0"/>
        <w:contextualSpacing/>
        <w:jc w:val="both"/>
        <w:rPr>
          <w:rFonts w:ascii="Palatino Linotype" w:eastAsia="Times New Roman" w:hAnsi="Palatino Linotype" w:cs="Arial"/>
          <w:i/>
          <w:sz w:val="24"/>
          <w:szCs w:val="24"/>
        </w:rPr>
      </w:pPr>
      <w:r w:rsidRPr="009F2B4A">
        <w:rPr>
          <w:rFonts w:ascii="Palatino Linotype" w:eastAsia="Times New Roman" w:hAnsi="Palatino Linotype" w:cs="Arial"/>
          <w:sz w:val="24"/>
          <w:szCs w:val="24"/>
        </w:rPr>
        <w:t>Sin embargo</w:t>
      </w:r>
      <w:r w:rsidR="00050164">
        <w:rPr>
          <w:rFonts w:ascii="Palatino Linotype" w:eastAsia="Times New Roman" w:hAnsi="Palatino Linotype" w:cs="Arial"/>
          <w:sz w:val="24"/>
          <w:szCs w:val="24"/>
        </w:rPr>
        <w:t>,</w:t>
      </w:r>
      <w:r w:rsidRPr="009F2B4A">
        <w:rPr>
          <w:rFonts w:ascii="Palatino Linotype" w:eastAsia="Times New Roman" w:hAnsi="Palatino Linotype" w:cs="Arial"/>
          <w:sz w:val="24"/>
          <w:szCs w:val="24"/>
        </w:rPr>
        <w:t xml:space="preserve"> </w:t>
      </w:r>
      <w:r w:rsidR="0026750B" w:rsidRPr="009F2B4A">
        <w:rPr>
          <w:rFonts w:ascii="Palatino Linotype" w:eastAsia="Times New Roman" w:hAnsi="Palatino Linotype" w:cs="Arial"/>
          <w:sz w:val="24"/>
          <w:szCs w:val="24"/>
        </w:rPr>
        <w:t xml:space="preserve">es de observarse </w:t>
      </w:r>
      <w:r w:rsidRPr="009F2B4A">
        <w:rPr>
          <w:rFonts w:ascii="Palatino Linotype" w:eastAsia="Times New Roman" w:hAnsi="Palatino Linotype" w:cs="Arial"/>
          <w:sz w:val="24"/>
          <w:szCs w:val="24"/>
        </w:rPr>
        <w:t>que</w:t>
      </w:r>
      <w:r w:rsidR="00EB223E" w:rsidRPr="009F2B4A">
        <w:rPr>
          <w:rFonts w:ascii="Palatino Linotype" w:eastAsia="Times New Roman" w:hAnsi="Palatino Linotype" w:cs="Arial"/>
          <w:sz w:val="24"/>
          <w:szCs w:val="24"/>
        </w:rPr>
        <w:t xml:space="preserve"> dentro de la so</w:t>
      </w:r>
      <w:r w:rsidR="0026750B" w:rsidRPr="009F2B4A">
        <w:rPr>
          <w:rFonts w:ascii="Palatino Linotype" w:eastAsia="Times New Roman" w:hAnsi="Palatino Linotype" w:cs="Arial"/>
          <w:sz w:val="24"/>
          <w:szCs w:val="24"/>
        </w:rPr>
        <w:t xml:space="preserve">licitud realizada </w:t>
      </w:r>
      <w:r w:rsidR="00C16BE5">
        <w:rPr>
          <w:rFonts w:ascii="Palatino Linotype" w:eastAsia="Times New Roman" w:hAnsi="Palatino Linotype" w:cs="Arial"/>
          <w:sz w:val="24"/>
          <w:szCs w:val="24"/>
        </w:rPr>
        <w:t xml:space="preserve">la particular </w:t>
      </w:r>
      <w:r w:rsidR="00A02411">
        <w:rPr>
          <w:rFonts w:ascii="Palatino Linotype" w:eastAsia="Times New Roman" w:hAnsi="Palatino Linotype" w:cs="Arial"/>
          <w:sz w:val="24"/>
          <w:szCs w:val="24"/>
        </w:rPr>
        <w:t xml:space="preserve">también </w:t>
      </w:r>
      <w:r w:rsidR="0026750B" w:rsidRPr="009F2B4A">
        <w:rPr>
          <w:rFonts w:ascii="Palatino Linotype" w:eastAsia="Times New Roman" w:hAnsi="Palatino Linotype" w:cs="Arial"/>
          <w:sz w:val="24"/>
          <w:szCs w:val="24"/>
        </w:rPr>
        <w:t>manifiesta la intención de conocer desde la fecha que entraron</w:t>
      </w:r>
      <w:r w:rsidR="009F2B4A" w:rsidRPr="009F2B4A">
        <w:rPr>
          <w:rFonts w:ascii="Palatino Linotype" w:eastAsia="Times New Roman" w:hAnsi="Palatino Linotype" w:cs="Arial"/>
          <w:sz w:val="24"/>
          <w:szCs w:val="24"/>
        </w:rPr>
        <w:t xml:space="preserve"> en funciones</w:t>
      </w:r>
      <w:r w:rsidR="0026750B" w:rsidRPr="009F2B4A">
        <w:rPr>
          <w:rFonts w:ascii="Palatino Linotype" w:eastAsia="Times New Roman" w:hAnsi="Palatino Linotype" w:cs="Arial"/>
          <w:sz w:val="24"/>
          <w:szCs w:val="24"/>
        </w:rPr>
        <w:t xml:space="preserve"> a la fecha de la solicitud </w:t>
      </w:r>
      <w:r w:rsidR="0026750B" w:rsidRPr="00050164">
        <w:rPr>
          <w:rFonts w:ascii="Palatino Linotype" w:eastAsia="Times New Roman" w:hAnsi="Palatino Linotype" w:cs="Arial"/>
          <w:b/>
          <w:sz w:val="24"/>
          <w:szCs w:val="24"/>
          <w:u w:val="single"/>
        </w:rPr>
        <w:t>cuanto han logrado gestionar</w:t>
      </w:r>
      <w:r w:rsidR="0026750B" w:rsidRPr="009F2B4A">
        <w:rPr>
          <w:rFonts w:ascii="Palatino Linotype" w:eastAsia="Times New Roman" w:hAnsi="Palatino Linotype" w:cs="Arial"/>
          <w:sz w:val="24"/>
          <w:szCs w:val="24"/>
        </w:rPr>
        <w:t xml:space="preserve"> y recib</w:t>
      </w:r>
      <w:r w:rsidR="009F2B4A" w:rsidRPr="009F2B4A">
        <w:rPr>
          <w:rFonts w:ascii="Palatino Linotype" w:eastAsia="Times New Roman" w:hAnsi="Palatino Linotype" w:cs="Arial"/>
          <w:sz w:val="24"/>
          <w:szCs w:val="24"/>
        </w:rPr>
        <w:t xml:space="preserve">ir cada uno de los 75 diputados, en ese sentido es necesario señalar que </w:t>
      </w:r>
      <w:r w:rsidR="009F2B4A" w:rsidRPr="009F2B4A">
        <w:rPr>
          <w:rFonts w:ascii="Palatino Linotype" w:eastAsia="Arial Unicode MS" w:hAnsi="Palatino Linotype" w:cs="Arial"/>
          <w:sz w:val="24"/>
          <w:szCs w:val="24"/>
          <w:bdr w:val="nil"/>
        </w:rPr>
        <w:t xml:space="preserve">los </w:t>
      </w:r>
      <w:r w:rsidR="009F2B4A" w:rsidRPr="009F2B4A">
        <w:rPr>
          <w:rFonts w:ascii="Palatino Linotype" w:eastAsia="Arial Unicode MS" w:hAnsi="Palatino Linotype" w:cs="Times New Roman"/>
          <w:b/>
          <w:sz w:val="24"/>
          <w:szCs w:val="24"/>
          <w:bdr w:val="nil"/>
        </w:rPr>
        <w:t xml:space="preserve">Lineamientos para el Ejercicio y Control del Presupuesto Asignado al Programa de Apoyo a la Comunidad </w:t>
      </w:r>
      <w:r w:rsidR="009F2B4A" w:rsidRPr="009F2B4A">
        <w:rPr>
          <w:rFonts w:ascii="Palatino Linotype" w:eastAsia="Arial Unicode MS" w:hAnsi="Palatino Linotype" w:cs="Times New Roman"/>
          <w:sz w:val="24"/>
          <w:szCs w:val="24"/>
          <w:bdr w:val="nil"/>
        </w:rPr>
        <w:t>establecen qué</w:t>
      </w:r>
      <w:r w:rsidR="009F2B4A" w:rsidRPr="009F2B4A">
        <w:rPr>
          <w:rFonts w:ascii="Palatino Linotype" w:eastAsia="Arial Unicode MS" w:hAnsi="Palatino Linotype" w:cs="Arial"/>
          <w:b/>
          <w:sz w:val="24"/>
          <w:szCs w:val="24"/>
          <w:bdr w:val="nil"/>
        </w:rPr>
        <w:t xml:space="preserve"> </w:t>
      </w:r>
      <w:r w:rsidR="009F2B4A" w:rsidRPr="009F2B4A">
        <w:rPr>
          <w:rFonts w:ascii="Palatino Linotype" w:eastAsia="Arial Unicode MS" w:hAnsi="Palatino Linotype" w:cs="Arial"/>
          <w:sz w:val="24"/>
          <w:szCs w:val="24"/>
          <w:bdr w:val="nil"/>
        </w:rPr>
        <w:t>es el Programa de Apoyo a la Comunidad y su objeto, tal como se transcribe:</w:t>
      </w:r>
    </w:p>
    <w:p w:rsidR="009F2B4A" w:rsidRPr="009F2B4A" w:rsidRDefault="009F2B4A" w:rsidP="009F2B4A">
      <w:pPr>
        <w:pBdr>
          <w:top w:val="nil"/>
          <w:left w:val="nil"/>
          <w:bottom w:val="nil"/>
          <w:right w:val="nil"/>
          <w:between w:val="nil"/>
          <w:bar w:val="nil"/>
        </w:pBdr>
        <w:spacing w:after="0" w:line="360" w:lineRule="auto"/>
        <w:contextualSpacing/>
        <w:jc w:val="both"/>
        <w:rPr>
          <w:rFonts w:ascii="Palatino Linotype" w:eastAsia="Arial Unicode MS" w:hAnsi="Palatino Linotype" w:cs="Arial"/>
          <w:b/>
          <w:sz w:val="24"/>
          <w:szCs w:val="24"/>
          <w:bdr w:val="nil"/>
        </w:rPr>
      </w:pPr>
    </w:p>
    <w:p w:rsidR="009F2B4A" w:rsidRPr="009F2B4A" w:rsidRDefault="009F2B4A" w:rsidP="009F2B4A">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i/>
          <w:sz w:val="24"/>
          <w:szCs w:val="24"/>
          <w:bdr w:val="nil"/>
        </w:rPr>
      </w:pPr>
      <w:r w:rsidRPr="009F2B4A">
        <w:rPr>
          <w:rFonts w:ascii="Palatino Linotype" w:eastAsia="Arial Unicode MS" w:hAnsi="Palatino Linotype" w:cs="Times New Roman"/>
          <w:i/>
          <w:sz w:val="24"/>
          <w:szCs w:val="24"/>
          <w:bdr w:val="nil"/>
        </w:rPr>
        <w:t xml:space="preserve">El Programa de Apoyo a la Comunidad es un instrumento del Gobierno del Estado de México que contribuye al mejoramiento de la calidad de vida de los habitantes de la entidad, al atender sus demandas con recursos del presupuesto </w:t>
      </w:r>
      <w:r w:rsidRPr="009F2B4A">
        <w:rPr>
          <w:rFonts w:ascii="Palatino Linotype" w:eastAsia="Arial Unicode MS" w:hAnsi="Palatino Linotype" w:cs="Times New Roman"/>
          <w:i/>
          <w:sz w:val="24"/>
          <w:szCs w:val="24"/>
          <w:bdr w:val="nil"/>
        </w:rPr>
        <w:lastRenderedPageBreak/>
        <w:t>autorizado por la Legislatura para la realización de acciones y obras que promuevan las comunidades a través de los Legisladores, sus grupos parlamentarios y dependencias del Poder Ejecutivo Estatal.</w:t>
      </w:r>
    </w:p>
    <w:p w:rsidR="009F2B4A" w:rsidRPr="009F2B4A" w:rsidRDefault="009F2B4A" w:rsidP="009F2B4A">
      <w:pPr>
        <w:pStyle w:val="Prrafodelista"/>
        <w:numPr>
          <w:ilvl w:val="0"/>
          <w:numId w:val="27"/>
        </w:numPr>
        <w:pBdr>
          <w:top w:val="nil"/>
          <w:left w:val="nil"/>
          <w:bottom w:val="nil"/>
          <w:right w:val="nil"/>
          <w:between w:val="nil"/>
          <w:bar w:val="nil"/>
        </w:pBdr>
        <w:spacing w:after="0" w:line="360" w:lineRule="auto"/>
        <w:ind w:left="0" w:firstLine="0"/>
        <w:jc w:val="both"/>
        <w:rPr>
          <w:rFonts w:ascii="Palatino Linotype" w:eastAsia="Arial Unicode MS" w:hAnsi="Palatino Linotype" w:cs="Times New Roman"/>
          <w:sz w:val="24"/>
          <w:szCs w:val="24"/>
          <w:bdr w:val="nil"/>
        </w:rPr>
      </w:pPr>
      <w:r w:rsidRPr="009F2B4A">
        <w:rPr>
          <w:rFonts w:ascii="Palatino Linotype" w:eastAsia="Arial Unicode MS" w:hAnsi="Palatino Linotype" w:cs="Arial"/>
          <w:sz w:val="24"/>
          <w:szCs w:val="24"/>
          <w:bdr w:val="nil"/>
        </w:rPr>
        <w:t xml:space="preserve">Ahora bien, en el punto 1.1 de los </w:t>
      </w:r>
      <w:r w:rsidRPr="009F2B4A">
        <w:rPr>
          <w:rFonts w:ascii="Palatino Linotype" w:eastAsia="Arial Unicode MS" w:hAnsi="Palatino Linotype" w:cs="Times New Roman"/>
          <w:b/>
          <w:sz w:val="24"/>
          <w:szCs w:val="24"/>
          <w:bdr w:val="nil"/>
        </w:rPr>
        <w:t>Lineamientos para el Ejercicio y Control del Presupuesto Asignado al Programa de Apoyo a la Comunidad,</w:t>
      </w:r>
      <w:r w:rsidR="00EF19FD">
        <w:rPr>
          <w:rFonts w:ascii="Palatino Linotype" w:eastAsia="Arial Unicode MS" w:hAnsi="Palatino Linotype" w:cs="Times New Roman"/>
          <w:b/>
          <w:sz w:val="24"/>
          <w:szCs w:val="24"/>
          <w:bdr w:val="nil"/>
        </w:rPr>
        <w:t xml:space="preserve"> </w:t>
      </w:r>
      <w:r w:rsidR="00EF19FD">
        <w:rPr>
          <w:rFonts w:ascii="Palatino Linotype" w:eastAsia="Arial Unicode MS" w:hAnsi="Palatino Linotype" w:cs="Times New Roman"/>
          <w:sz w:val="24"/>
          <w:szCs w:val="24"/>
          <w:bdr w:val="nil"/>
        </w:rPr>
        <w:t>refieren que se entiende por coordinación lo siguiente:</w:t>
      </w:r>
    </w:p>
    <w:p w:rsidR="009F2B4A" w:rsidRPr="009F2B4A" w:rsidRDefault="009F2B4A" w:rsidP="009F2B4A">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9F2B4A" w:rsidRPr="009F2B4A" w:rsidRDefault="006D578F" w:rsidP="009F2B4A">
      <w:pPr>
        <w:pBdr>
          <w:top w:val="nil"/>
          <w:left w:val="nil"/>
          <w:bottom w:val="nil"/>
          <w:right w:val="nil"/>
          <w:between w:val="nil"/>
          <w:bar w:val="nil"/>
        </w:pBdr>
        <w:spacing w:after="0" w:line="360" w:lineRule="auto"/>
        <w:ind w:left="567" w:right="616"/>
        <w:jc w:val="both"/>
        <w:rPr>
          <w:rFonts w:ascii="Palatino Linotype" w:eastAsia="Arial Unicode MS" w:hAnsi="Palatino Linotype" w:cs="Arial"/>
          <w:i/>
          <w:sz w:val="24"/>
          <w:szCs w:val="24"/>
          <w:bdr w:val="nil"/>
        </w:rPr>
      </w:pPr>
      <w:r>
        <w:rPr>
          <w:rFonts w:ascii="Palatino Linotype" w:eastAsia="Arial Unicode MS" w:hAnsi="Palatino Linotype" w:cs="Times New Roman"/>
          <w:b/>
          <w:i/>
          <w:sz w:val="24"/>
          <w:szCs w:val="24"/>
          <w:bdr w:val="nil"/>
        </w:rPr>
        <w:t>Coordinación</w:t>
      </w:r>
      <w:r w:rsidR="009F2B4A" w:rsidRPr="009F2B4A">
        <w:rPr>
          <w:rFonts w:ascii="Palatino Linotype" w:eastAsia="Arial Unicode MS" w:hAnsi="Palatino Linotype" w:cs="Times New Roman"/>
          <w:b/>
          <w:i/>
          <w:sz w:val="24"/>
          <w:szCs w:val="24"/>
          <w:bdr w:val="nil"/>
        </w:rPr>
        <w:t>:</w:t>
      </w:r>
      <w:r>
        <w:rPr>
          <w:rFonts w:ascii="Palatino Linotype" w:eastAsia="Arial Unicode MS" w:hAnsi="Palatino Linotype" w:cs="Times New Roman"/>
          <w:i/>
          <w:sz w:val="24"/>
          <w:szCs w:val="24"/>
          <w:bdr w:val="nil"/>
        </w:rPr>
        <w:t xml:space="preserve"> </w:t>
      </w:r>
      <w:r w:rsidRPr="006D578F">
        <w:rPr>
          <w:rFonts w:ascii="Palatino Linotype" w:eastAsia="Arial Unicode MS" w:hAnsi="Palatino Linotype" w:cs="Times New Roman"/>
          <w:i/>
          <w:sz w:val="24"/>
          <w:szCs w:val="24"/>
          <w:bdr w:val="nil"/>
        </w:rPr>
        <w:t>A la Coordinación del Programa de Apoyo a la Comunidad de la Secretaría de Finanzas del Gobierno de Estado de México.</w:t>
      </w:r>
    </w:p>
    <w:p w:rsidR="009F2B4A" w:rsidRPr="009F2B4A" w:rsidRDefault="009F2B4A" w:rsidP="009F2B4A">
      <w:pPr>
        <w:pBdr>
          <w:top w:val="nil"/>
          <w:left w:val="nil"/>
          <w:bottom w:val="nil"/>
          <w:right w:val="nil"/>
          <w:between w:val="nil"/>
          <w:bar w:val="nil"/>
        </w:pBdr>
        <w:spacing w:after="0" w:line="240" w:lineRule="auto"/>
        <w:rPr>
          <w:rFonts w:ascii="Palatino Linotype" w:eastAsia="Arial Unicode MS" w:hAnsi="Palatino Linotype" w:cs="Arial"/>
          <w:sz w:val="24"/>
          <w:szCs w:val="24"/>
          <w:bdr w:val="nil"/>
        </w:rPr>
      </w:pPr>
    </w:p>
    <w:p w:rsidR="009F2B4A" w:rsidRPr="009F2B4A" w:rsidRDefault="009F2B4A" w:rsidP="009F2B4A">
      <w:pPr>
        <w:numPr>
          <w:ilvl w:val="0"/>
          <w:numId w:val="27"/>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Times New Roman"/>
          <w:sz w:val="24"/>
          <w:szCs w:val="24"/>
          <w:bdr w:val="nil"/>
        </w:rPr>
      </w:pPr>
      <w:r w:rsidRPr="009F2B4A">
        <w:rPr>
          <w:rFonts w:ascii="Palatino Linotype" w:eastAsia="Arial Unicode MS" w:hAnsi="Palatino Linotype" w:cs="Arial"/>
          <w:sz w:val="24"/>
          <w:szCs w:val="24"/>
          <w:bdr w:val="nil"/>
        </w:rPr>
        <w:t xml:space="preserve">Entonces, el Programa de Apoyo a la Comunidad </w:t>
      </w:r>
      <w:r w:rsidRPr="009F2B4A">
        <w:rPr>
          <w:rFonts w:ascii="Palatino Linotype" w:eastAsia="Arial Unicode MS" w:hAnsi="Palatino Linotype" w:cs="Times New Roman"/>
          <w:sz w:val="24"/>
          <w:szCs w:val="24"/>
          <w:bdr w:val="nil"/>
        </w:rPr>
        <w:t xml:space="preserve">es un instrumento que contribuye al mejoramiento de la calidad de vida de los habitantes de la entidad, al atender sus demandas con recursos del presupuesto </w:t>
      </w:r>
      <w:r w:rsidRPr="00EF19FD">
        <w:rPr>
          <w:rFonts w:ascii="Palatino Linotype" w:eastAsia="Arial Unicode MS" w:hAnsi="Palatino Linotype" w:cs="Times New Roman"/>
          <w:i/>
          <w:sz w:val="24"/>
          <w:szCs w:val="24"/>
          <w:bdr w:val="nil"/>
        </w:rPr>
        <w:t>autorizado por la Legislatura</w:t>
      </w:r>
      <w:r w:rsidRPr="009F2B4A">
        <w:rPr>
          <w:rFonts w:ascii="Palatino Linotype" w:eastAsia="Arial Unicode MS" w:hAnsi="Palatino Linotype" w:cs="Times New Roman"/>
          <w:sz w:val="24"/>
          <w:szCs w:val="24"/>
          <w:bdr w:val="nil"/>
        </w:rPr>
        <w:t xml:space="preserve"> para la realización de acciones y obras que promuevan las comunidades a través de los gestores quienes son los Legisladores, sus grupos parlamentarios y dependencias del Poder Ejecutivo Estatal, y a su vez la información generada en cuanto a la cantidad, los resultados e impacto de los apoyos otorgados, beneficios logrados y beneficiados por el Programa será responsabilidad de los gestores , de conformidad a lo dispuesto por el punto </w:t>
      </w:r>
      <w:r w:rsidRPr="00050164">
        <w:rPr>
          <w:rFonts w:ascii="Palatino Linotype" w:eastAsia="Arial Unicode MS" w:hAnsi="Palatino Linotype" w:cs="Times New Roman"/>
          <w:b/>
          <w:sz w:val="24"/>
          <w:szCs w:val="24"/>
          <w:bdr w:val="nil"/>
        </w:rPr>
        <w:t>número 12 de los Lineamientos</w:t>
      </w:r>
      <w:r w:rsidRPr="009F2B4A">
        <w:rPr>
          <w:rFonts w:ascii="Palatino Linotype" w:eastAsia="Arial Unicode MS" w:hAnsi="Palatino Linotype" w:cs="Times New Roman"/>
          <w:sz w:val="24"/>
          <w:szCs w:val="24"/>
          <w:bdr w:val="nil"/>
        </w:rPr>
        <w:t xml:space="preserve"> antes citados , tal como se cita: </w:t>
      </w:r>
    </w:p>
    <w:p w:rsidR="009F2B4A" w:rsidRPr="00050164" w:rsidRDefault="009F2B4A" w:rsidP="009F2B4A">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i/>
          <w:bdr w:val="nil"/>
        </w:rPr>
      </w:pPr>
      <w:r w:rsidRPr="00050164">
        <w:rPr>
          <w:rFonts w:ascii="Palatino Linotype" w:eastAsia="Arial Unicode MS" w:hAnsi="Palatino Linotype" w:cs="Times New Roman"/>
          <w:i/>
          <w:bdr w:val="nil"/>
        </w:rPr>
        <w:t xml:space="preserve">La Secretaría de Finanzas a través de la Coordinación dará a conocer los presentes Lineamientos. Los resultados e impacto de los apoyos otorgados, beneficios logrados y </w:t>
      </w:r>
      <w:r w:rsidRPr="00050164">
        <w:rPr>
          <w:rFonts w:ascii="Palatino Linotype" w:eastAsia="Arial Unicode MS" w:hAnsi="Palatino Linotype" w:cs="Times New Roman"/>
          <w:i/>
          <w:bdr w:val="nil"/>
        </w:rPr>
        <w:lastRenderedPageBreak/>
        <w:t>beneficiados por el Programa, así como la información generada serán responsabilidad de los gestores, en términos de la Ley de Transparencia y Acceso a la Información Pública del Estado de México y Municipios.</w:t>
      </w:r>
    </w:p>
    <w:p w:rsidR="000C2ADA" w:rsidRDefault="000C2ADA" w:rsidP="00EF19FD">
      <w:pPr>
        <w:numPr>
          <w:ilvl w:val="0"/>
          <w:numId w:val="27"/>
        </w:numPr>
        <w:pBdr>
          <w:top w:val="nil"/>
          <w:left w:val="nil"/>
          <w:bottom w:val="nil"/>
          <w:right w:val="nil"/>
          <w:between w:val="nil"/>
          <w:bar w:val="nil"/>
        </w:pBdr>
        <w:spacing w:after="0" w:line="360" w:lineRule="auto"/>
        <w:ind w:left="0" w:firstLine="0"/>
        <w:contextualSpacing/>
        <w:jc w:val="both"/>
        <w:rPr>
          <w:rFonts w:ascii="Palatino Linotype" w:eastAsia="Times New Roman" w:hAnsi="Palatino Linotype" w:cs="Arial"/>
          <w:color w:val="000000"/>
          <w:sz w:val="24"/>
          <w:szCs w:val="24"/>
          <w:bdr w:val="nil"/>
        </w:rPr>
      </w:pPr>
      <w:r>
        <w:rPr>
          <w:rFonts w:ascii="Palatino Linotype" w:eastAsia="Times New Roman" w:hAnsi="Palatino Linotype" w:cs="Arial"/>
          <w:color w:val="000000"/>
          <w:sz w:val="24"/>
          <w:szCs w:val="24"/>
          <w:bdr w:val="nil"/>
        </w:rPr>
        <w:t>Por su parte el Manual General  de Organización de la Secretaría de Fianzas del Estado de México, refiere que la Coordinación del Programa de Apoyo</w:t>
      </w:r>
      <w:r w:rsidR="001F2B15">
        <w:rPr>
          <w:rFonts w:ascii="Palatino Linotype" w:eastAsia="Times New Roman" w:hAnsi="Palatino Linotype" w:cs="Arial"/>
          <w:color w:val="000000"/>
          <w:sz w:val="24"/>
          <w:szCs w:val="24"/>
          <w:bdr w:val="nil"/>
        </w:rPr>
        <w:t xml:space="preserve"> tiene las siguientes funciones: </w:t>
      </w:r>
    </w:p>
    <w:p w:rsidR="000C2ADA" w:rsidRDefault="000C2ADA" w:rsidP="000C2ADA">
      <w:pPr>
        <w:pBdr>
          <w:top w:val="nil"/>
          <w:left w:val="nil"/>
          <w:bottom w:val="nil"/>
          <w:right w:val="nil"/>
          <w:between w:val="nil"/>
          <w:bar w:val="nil"/>
        </w:pBdr>
        <w:spacing w:after="0" w:line="360" w:lineRule="auto"/>
        <w:contextualSpacing/>
        <w:jc w:val="both"/>
        <w:rPr>
          <w:rFonts w:ascii="Palatino Linotype" w:eastAsia="Times New Roman" w:hAnsi="Palatino Linotype" w:cs="Arial"/>
          <w:color w:val="000000"/>
          <w:sz w:val="24"/>
          <w:szCs w:val="24"/>
          <w:bdr w:val="nil"/>
        </w:rPr>
      </w:pP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sidRPr="000C2ADA">
        <w:rPr>
          <w:rFonts w:ascii="Palatino Linotype" w:eastAsia="Times New Roman" w:hAnsi="Palatino Linotype" w:cs="Arial"/>
          <w:b/>
          <w:color w:val="000000"/>
          <w:sz w:val="24"/>
          <w:szCs w:val="24"/>
          <w:bdr w:val="nil"/>
        </w:rPr>
        <w:t>203460000 COORDINACIÓN DEL PROGRAMA DE APOYO A LA COMUNIDAD</w:t>
      </w:r>
      <w:r w:rsidRPr="000C2ADA">
        <w:rPr>
          <w:rFonts w:ascii="Palatino Linotype" w:eastAsia="Times New Roman" w:hAnsi="Palatino Linotype" w:cs="Arial"/>
          <w:color w:val="000000"/>
          <w:sz w:val="24"/>
          <w:szCs w:val="24"/>
          <w:bdr w:val="nil"/>
        </w:rPr>
        <w:t xml:space="preserve"> </w:t>
      </w:r>
    </w:p>
    <w:p w:rsidR="000C2ADA" w:rsidRP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sidRPr="000C2ADA">
        <w:rPr>
          <w:rFonts w:ascii="Palatino Linotype" w:eastAsia="Times New Roman" w:hAnsi="Palatino Linotype" w:cs="Arial"/>
          <w:b/>
          <w:color w:val="000000"/>
          <w:sz w:val="24"/>
          <w:szCs w:val="24"/>
          <w:bdr w:val="nil"/>
        </w:rPr>
        <w:t>OBJETIVO</w:t>
      </w:r>
      <w:r w:rsidRPr="000C2ADA">
        <w:rPr>
          <w:rFonts w:ascii="Palatino Linotype" w:eastAsia="Times New Roman" w:hAnsi="Palatino Linotype" w:cs="Arial"/>
          <w:color w:val="000000"/>
          <w:sz w:val="24"/>
          <w:szCs w:val="24"/>
          <w:bdr w:val="nil"/>
        </w:rPr>
        <w:t xml:space="preserve">: Proporcionar los recursos autorizados para la realización de acciones y obras sociales que promuevan las comunidades a través de los legisladores y dependencias del Poder Ejecutivo Estatal, orientadas a mejorar el nivel de vida de los diversos sectores de la población del Estado de México. </w:t>
      </w: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sidRPr="000C2ADA">
        <w:rPr>
          <w:rFonts w:ascii="Palatino Linotype" w:eastAsia="Times New Roman" w:hAnsi="Palatino Linotype" w:cs="Arial"/>
          <w:b/>
          <w:color w:val="000000"/>
          <w:sz w:val="24"/>
          <w:szCs w:val="24"/>
          <w:bdr w:val="nil"/>
        </w:rPr>
        <w:t>FUNCIONE</w:t>
      </w:r>
      <w:r w:rsidRPr="000C2ADA">
        <w:rPr>
          <w:rFonts w:ascii="Palatino Linotype" w:eastAsia="Times New Roman" w:hAnsi="Palatino Linotype" w:cs="Arial"/>
          <w:color w:val="000000"/>
          <w:sz w:val="24"/>
          <w:szCs w:val="24"/>
          <w:bdr w:val="nil"/>
        </w:rPr>
        <w:t>S:</w:t>
      </w: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sidRPr="000C2ADA">
        <w:rPr>
          <w:rFonts w:ascii="Palatino Linotype" w:eastAsia="Times New Roman" w:hAnsi="Palatino Linotype" w:cs="Arial"/>
          <w:color w:val="000000"/>
          <w:sz w:val="24"/>
          <w:szCs w:val="24"/>
          <w:bdr w:val="nil"/>
        </w:rPr>
        <w:t>(…)</w:t>
      </w:r>
    </w:p>
    <w:p w:rsidR="000C2ADA" w:rsidRP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sidRPr="000C2ADA">
        <w:rPr>
          <w:rFonts w:ascii="Palatino Linotype" w:eastAsia="Times New Roman" w:hAnsi="Palatino Linotype" w:cs="Arial"/>
          <w:color w:val="000000"/>
          <w:sz w:val="24"/>
          <w:szCs w:val="24"/>
          <w:bdr w:val="nil"/>
        </w:rPr>
        <w:t>Recibir y gestionar las solicitudes que presenten los legisladores, grupos parlamentarios y las dependencias estatales y, en caso de ser procedentes, autori</w:t>
      </w:r>
      <w:r>
        <w:rPr>
          <w:rFonts w:ascii="Palatino Linotype" w:eastAsia="Times New Roman" w:hAnsi="Palatino Linotype" w:cs="Arial"/>
          <w:color w:val="000000"/>
          <w:sz w:val="24"/>
          <w:szCs w:val="24"/>
          <w:bdr w:val="nil"/>
        </w:rPr>
        <w:t>zar los suministros requeridos.</w:t>
      </w:r>
    </w:p>
    <w:p w:rsidR="000C2ADA" w:rsidRDefault="000C2ADA" w:rsidP="000C2ADA">
      <w:pPr>
        <w:pBdr>
          <w:top w:val="nil"/>
          <w:left w:val="nil"/>
          <w:bottom w:val="nil"/>
          <w:right w:val="nil"/>
          <w:between w:val="nil"/>
          <w:bar w:val="nil"/>
        </w:pBdr>
        <w:spacing w:after="0" w:line="360" w:lineRule="auto"/>
        <w:ind w:left="567" w:right="616"/>
        <w:contextualSpacing/>
        <w:jc w:val="both"/>
        <w:rPr>
          <w:rFonts w:ascii="Palatino Linotype" w:eastAsia="Times New Roman" w:hAnsi="Palatino Linotype" w:cs="Arial"/>
          <w:color w:val="000000"/>
          <w:sz w:val="24"/>
          <w:szCs w:val="24"/>
          <w:bdr w:val="nil"/>
        </w:rPr>
      </w:pPr>
      <w:r>
        <w:rPr>
          <w:rFonts w:ascii="Palatino Linotype" w:eastAsia="Times New Roman" w:hAnsi="Palatino Linotype" w:cs="Arial"/>
          <w:color w:val="000000"/>
          <w:sz w:val="24"/>
          <w:szCs w:val="24"/>
          <w:bdr w:val="nil"/>
        </w:rPr>
        <w:lastRenderedPageBreak/>
        <w:t>(…)</w:t>
      </w:r>
    </w:p>
    <w:p w:rsidR="000C2ADA" w:rsidRDefault="000C2ADA" w:rsidP="000C2ADA">
      <w:pPr>
        <w:pBdr>
          <w:top w:val="nil"/>
          <w:left w:val="nil"/>
          <w:bottom w:val="nil"/>
          <w:right w:val="nil"/>
          <w:between w:val="nil"/>
          <w:bar w:val="nil"/>
        </w:pBdr>
        <w:spacing w:after="0" w:line="360" w:lineRule="auto"/>
        <w:contextualSpacing/>
        <w:jc w:val="both"/>
        <w:rPr>
          <w:rFonts w:ascii="Palatino Linotype" w:eastAsia="Times New Roman" w:hAnsi="Palatino Linotype" w:cs="Arial"/>
          <w:color w:val="000000"/>
          <w:sz w:val="24"/>
          <w:szCs w:val="24"/>
          <w:bdr w:val="nil"/>
        </w:rPr>
      </w:pPr>
    </w:p>
    <w:p w:rsidR="009F2B4A" w:rsidRPr="006B0801" w:rsidRDefault="000C2ADA" w:rsidP="006B0801">
      <w:pPr>
        <w:numPr>
          <w:ilvl w:val="0"/>
          <w:numId w:val="27"/>
        </w:numPr>
        <w:pBdr>
          <w:top w:val="nil"/>
          <w:left w:val="nil"/>
          <w:bottom w:val="nil"/>
          <w:right w:val="nil"/>
          <w:between w:val="nil"/>
          <w:bar w:val="nil"/>
        </w:pBdr>
        <w:spacing w:after="0" w:line="360" w:lineRule="auto"/>
        <w:ind w:left="0" w:firstLine="0"/>
        <w:contextualSpacing/>
        <w:jc w:val="both"/>
        <w:rPr>
          <w:rFonts w:ascii="Palatino Linotype" w:eastAsia="Times New Roman" w:hAnsi="Palatino Linotype" w:cs="Arial"/>
          <w:color w:val="000000"/>
          <w:sz w:val="24"/>
          <w:szCs w:val="24"/>
          <w:bdr w:val="nil"/>
        </w:rPr>
      </w:pPr>
      <w:r>
        <w:rPr>
          <w:rFonts w:ascii="Palatino Linotype" w:eastAsia="Times New Roman" w:hAnsi="Palatino Linotype" w:cs="Arial"/>
          <w:color w:val="000000"/>
          <w:sz w:val="24"/>
          <w:szCs w:val="24"/>
          <w:bdr w:val="nil"/>
        </w:rPr>
        <w:t>En ese sentido la Coordinación del Programa de Apoyo a la Comunidad tiene facultades para gestionar y autoriz</w:t>
      </w:r>
      <w:r w:rsidR="006B0801">
        <w:rPr>
          <w:rFonts w:ascii="Palatino Linotype" w:eastAsia="Times New Roman" w:hAnsi="Palatino Linotype" w:cs="Arial"/>
          <w:color w:val="000000"/>
          <w:sz w:val="24"/>
          <w:szCs w:val="24"/>
          <w:bdr w:val="nil"/>
        </w:rPr>
        <w:t>ar los suministros requeridos por los diputados, a</w:t>
      </w:r>
      <w:r w:rsidR="00C16BE5" w:rsidRPr="006B0801">
        <w:rPr>
          <w:rFonts w:ascii="Palatino Linotype" w:eastAsia="Times New Roman" w:hAnsi="Palatino Linotype" w:cs="Arial"/>
          <w:color w:val="000000"/>
          <w:sz w:val="24"/>
          <w:szCs w:val="24"/>
          <w:bdr w:val="nil"/>
        </w:rPr>
        <w:t xml:space="preserve">demás los Lineamentos ya citados </w:t>
      </w:r>
      <w:r w:rsidR="00EF19FD" w:rsidRPr="006B0801">
        <w:rPr>
          <w:rFonts w:ascii="Palatino Linotype" w:eastAsia="Times New Roman" w:hAnsi="Palatino Linotype" w:cs="Arial"/>
          <w:color w:val="000000"/>
          <w:sz w:val="24"/>
          <w:szCs w:val="24"/>
          <w:bdr w:val="nil"/>
        </w:rPr>
        <w:t>en el punto 7.2.1 del Suministro de Materiales inciso b) de la afectación presupuestal refiere</w:t>
      </w:r>
      <w:r w:rsidR="00C16BE5" w:rsidRPr="006B0801">
        <w:rPr>
          <w:rFonts w:ascii="Palatino Linotype" w:eastAsia="Times New Roman" w:hAnsi="Palatino Linotype" w:cs="Arial"/>
          <w:color w:val="000000"/>
          <w:sz w:val="24"/>
          <w:szCs w:val="24"/>
          <w:bdr w:val="nil"/>
        </w:rPr>
        <w:t xml:space="preserve"> que la </w:t>
      </w:r>
      <w:r w:rsidR="001D62AE" w:rsidRPr="006B0801">
        <w:rPr>
          <w:rFonts w:ascii="Palatino Linotype" w:eastAsia="Times New Roman" w:hAnsi="Palatino Linotype" w:cs="Arial"/>
          <w:color w:val="000000"/>
          <w:sz w:val="24"/>
          <w:szCs w:val="24"/>
          <w:bdr w:val="nil"/>
        </w:rPr>
        <w:t>“</w:t>
      </w:r>
      <w:r w:rsidR="00C16BE5" w:rsidRPr="006B0801">
        <w:rPr>
          <w:rFonts w:ascii="Palatino Linotype" w:eastAsia="Times New Roman" w:hAnsi="Palatino Linotype" w:cs="Arial"/>
          <w:i/>
          <w:color w:val="000000"/>
          <w:sz w:val="24"/>
          <w:szCs w:val="24"/>
          <w:bdr w:val="nil"/>
        </w:rPr>
        <w:t>Coordinación afectará presupuestalmente el techo financiero, de acuerdo con las solicitudes</w:t>
      </w:r>
      <w:r w:rsidR="00CB1C23">
        <w:rPr>
          <w:rFonts w:ascii="Palatino Linotype" w:eastAsia="Times New Roman" w:hAnsi="Palatino Linotype" w:cs="Arial"/>
          <w:i/>
          <w:color w:val="000000"/>
          <w:sz w:val="24"/>
          <w:szCs w:val="24"/>
          <w:bdr w:val="nil"/>
        </w:rPr>
        <w:t xml:space="preserve"> autorizadas” (s</w:t>
      </w:r>
      <w:r w:rsidR="001D62AE" w:rsidRPr="006B0801">
        <w:rPr>
          <w:rFonts w:ascii="Palatino Linotype" w:eastAsia="Times New Roman" w:hAnsi="Palatino Linotype" w:cs="Arial"/>
          <w:i/>
          <w:color w:val="000000"/>
          <w:sz w:val="24"/>
          <w:szCs w:val="24"/>
          <w:bdr w:val="nil"/>
        </w:rPr>
        <w:t>ic)</w:t>
      </w:r>
      <w:r w:rsidR="00C16BE5" w:rsidRPr="006B0801">
        <w:rPr>
          <w:rFonts w:ascii="Palatino Linotype" w:eastAsia="Times New Roman" w:hAnsi="Palatino Linotype" w:cs="Arial"/>
          <w:i/>
          <w:color w:val="000000"/>
          <w:sz w:val="24"/>
          <w:szCs w:val="24"/>
          <w:bdr w:val="nil"/>
        </w:rPr>
        <w:t xml:space="preserve">, </w:t>
      </w:r>
      <w:r w:rsidR="00C16BE5" w:rsidRPr="006B0801">
        <w:rPr>
          <w:rFonts w:ascii="Palatino Linotype" w:eastAsia="Times New Roman" w:hAnsi="Palatino Linotype" w:cs="Arial"/>
          <w:color w:val="000000"/>
          <w:sz w:val="24"/>
          <w:szCs w:val="24"/>
          <w:bdr w:val="nil"/>
        </w:rPr>
        <w:t xml:space="preserve">por lo que </w:t>
      </w:r>
      <w:r w:rsidR="00A02411" w:rsidRPr="006B0801">
        <w:rPr>
          <w:rFonts w:ascii="Palatino Linotype" w:eastAsia="Times New Roman" w:hAnsi="Palatino Linotype" w:cs="Arial"/>
          <w:color w:val="000000"/>
          <w:sz w:val="24"/>
          <w:szCs w:val="24"/>
          <w:bdr w:val="nil"/>
        </w:rPr>
        <w:t xml:space="preserve">la </w:t>
      </w:r>
      <w:r w:rsidR="00A02411" w:rsidRPr="00050164">
        <w:rPr>
          <w:rFonts w:ascii="Palatino Linotype" w:eastAsia="Times New Roman" w:hAnsi="Palatino Linotype" w:cs="Arial"/>
          <w:b/>
          <w:color w:val="000000"/>
          <w:sz w:val="24"/>
          <w:szCs w:val="24"/>
          <w:bdr w:val="nil"/>
        </w:rPr>
        <w:t>Coordinación del programa de Apoyo a la Comunida</w:t>
      </w:r>
      <w:r w:rsidR="006D4857" w:rsidRPr="00050164">
        <w:rPr>
          <w:rFonts w:ascii="Palatino Linotype" w:eastAsia="Times New Roman" w:hAnsi="Palatino Linotype" w:cs="Arial"/>
          <w:b/>
          <w:color w:val="000000"/>
          <w:sz w:val="24"/>
          <w:szCs w:val="24"/>
          <w:bdr w:val="nil"/>
        </w:rPr>
        <w:t xml:space="preserve">d de la Secretaría de Finanzas </w:t>
      </w:r>
      <w:r w:rsidR="00A02411" w:rsidRPr="00050164">
        <w:rPr>
          <w:rFonts w:ascii="Palatino Linotype" w:eastAsia="Times New Roman" w:hAnsi="Palatino Linotype" w:cs="Arial"/>
          <w:b/>
          <w:color w:val="000000"/>
          <w:sz w:val="24"/>
          <w:szCs w:val="24"/>
          <w:bdr w:val="nil"/>
        </w:rPr>
        <w:t>deberá llevar la actualización de los recursos que logren gestionar los diputados</w:t>
      </w:r>
      <w:r w:rsidR="001F2B15" w:rsidRPr="00050164">
        <w:rPr>
          <w:rFonts w:ascii="Palatino Linotype" w:eastAsia="Times New Roman" w:hAnsi="Palatino Linotype" w:cs="Arial"/>
          <w:b/>
          <w:color w:val="000000"/>
          <w:sz w:val="24"/>
          <w:szCs w:val="24"/>
          <w:bdr w:val="nil"/>
        </w:rPr>
        <w:t>.</w:t>
      </w:r>
      <w:r w:rsidR="006B0801" w:rsidRPr="00050164">
        <w:rPr>
          <w:rFonts w:ascii="Palatino Linotype" w:eastAsia="Times New Roman" w:hAnsi="Palatino Linotype" w:cs="Arial"/>
          <w:b/>
          <w:color w:val="000000"/>
          <w:sz w:val="24"/>
          <w:szCs w:val="24"/>
          <w:bdr w:val="nil"/>
        </w:rPr>
        <w:t xml:space="preserve"> </w:t>
      </w:r>
    </w:p>
    <w:p w:rsidR="00C16BE5" w:rsidRDefault="00C16BE5" w:rsidP="00C16BE5">
      <w:pPr>
        <w:pStyle w:val="Prrafodelista"/>
        <w:rPr>
          <w:rFonts w:ascii="Palatino Linotype" w:eastAsia="Times New Roman" w:hAnsi="Palatino Linotype" w:cs="Arial"/>
          <w:color w:val="000000"/>
          <w:sz w:val="24"/>
          <w:szCs w:val="24"/>
          <w:bdr w:val="nil"/>
        </w:rPr>
      </w:pPr>
    </w:p>
    <w:p w:rsidR="009F2B4A" w:rsidRPr="009F2B4A" w:rsidRDefault="009F2B4A" w:rsidP="009F2B4A">
      <w:pPr>
        <w:numPr>
          <w:ilvl w:val="0"/>
          <w:numId w:val="27"/>
        </w:numPr>
        <w:pBdr>
          <w:top w:val="nil"/>
          <w:left w:val="nil"/>
          <w:bottom w:val="nil"/>
          <w:right w:val="nil"/>
          <w:between w:val="nil"/>
          <w:bar w:val="nil"/>
        </w:pBdr>
        <w:spacing w:after="0" w:line="360" w:lineRule="auto"/>
        <w:ind w:left="0" w:right="49" w:firstLine="0"/>
        <w:contextualSpacing/>
        <w:jc w:val="both"/>
        <w:rPr>
          <w:rFonts w:ascii="Palatino Linotype" w:eastAsia="Times New Roman" w:hAnsi="Palatino Linotype" w:cs="Arial"/>
          <w:color w:val="000000"/>
          <w:sz w:val="24"/>
          <w:szCs w:val="24"/>
          <w:bdr w:val="nil"/>
        </w:rPr>
      </w:pPr>
      <w:r w:rsidRPr="009F2B4A">
        <w:rPr>
          <w:rFonts w:ascii="Palatino Linotype" w:eastAsia="Times New Roman" w:hAnsi="Palatino Linotype" w:cs="Arial"/>
          <w:color w:val="000000"/>
          <w:sz w:val="24"/>
          <w:szCs w:val="24"/>
          <w:bdr w:val="nil"/>
        </w:rPr>
        <w:t>Por otro lado, el Presupuesto de Egresos para el ejercicio fiscal 2015 y 2016 en su artículo 17 respectivamente, el Presupuesto de Egresos para el ejercicio fiscal 2017 y al 2018 en el artículo 23 respectivamente, establecen lo siguiente:</w:t>
      </w:r>
    </w:p>
    <w:p w:rsidR="009F2B4A" w:rsidRPr="009F2B4A" w:rsidRDefault="009F2B4A" w:rsidP="009F2B4A">
      <w:pPr>
        <w:pBdr>
          <w:top w:val="nil"/>
          <w:left w:val="nil"/>
          <w:bottom w:val="nil"/>
          <w:right w:val="nil"/>
          <w:between w:val="nil"/>
          <w:bar w:val="nil"/>
        </w:pBdr>
        <w:spacing w:after="0" w:line="360" w:lineRule="auto"/>
        <w:ind w:right="49"/>
        <w:contextualSpacing/>
        <w:jc w:val="both"/>
        <w:rPr>
          <w:rFonts w:ascii="Palatino Linotype" w:eastAsia="Times New Roman" w:hAnsi="Palatino Linotype" w:cs="Arial"/>
          <w:color w:val="000000"/>
          <w:sz w:val="24"/>
          <w:szCs w:val="24"/>
          <w:bdr w:val="nil"/>
        </w:rPr>
      </w:pPr>
    </w:p>
    <w:p w:rsidR="009F2B4A" w:rsidRPr="009F2B4A" w:rsidRDefault="009F2B4A" w:rsidP="009F2B4A">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Arial"/>
          <w:b/>
          <w:i/>
          <w:color w:val="000000" w:themeColor="text1"/>
          <w:sz w:val="24"/>
          <w:szCs w:val="24"/>
          <w:bdr w:val="nil"/>
          <w:lang w:val="es-ES"/>
        </w:rPr>
      </w:pPr>
      <w:r w:rsidRPr="009F2B4A">
        <w:rPr>
          <w:rFonts w:ascii="Palatino Linotype" w:eastAsia="Arial Unicode MS" w:hAnsi="Palatino Linotype" w:cs="Times New Roman"/>
          <w:i/>
          <w:sz w:val="24"/>
          <w:szCs w:val="24"/>
          <w:bdr w:val="nil"/>
        </w:rPr>
        <w:t>“Este importe incluye $187</w:t>
      </w:r>
      <w:proofErr w:type="gramStart"/>
      <w:r w:rsidRPr="009F2B4A">
        <w:rPr>
          <w:rFonts w:ascii="Palatino Linotype" w:eastAsia="Arial Unicode MS" w:hAnsi="Palatino Linotype" w:cs="Times New Roman"/>
          <w:i/>
          <w:sz w:val="24"/>
          <w:szCs w:val="24"/>
          <w:bdr w:val="nil"/>
        </w:rPr>
        <w:t>,500,000</w:t>
      </w:r>
      <w:proofErr w:type="gramEnd"/>
      <w:r w:rsidRPr="009F2B4A">
        <w:rPr>
          <w:rFonts w:ascii="Palatino Linotype" w:eastAsia="Arial Unicode MS" w:hAnsi="Palatino Linotype" w:cs="Times New Roman"/>
          <w:i/>
          <w:sz w:val="24"/>
          <w:szCs w:val="24"/>
          <w:bdr w:val="nil"/>
        </w:rPr>
        <w:t xml:space="preserve"> del Programa de Apoyo a la Comunidad que ejercen los legisladores, el cual se orienta a la atención de las demandas ciudadanas mediante la entrega de apoyos en materiales diversos, mismo que estará sujeto a los lineamientos, reglas y manuales de operación aplicables a los programas sociales en términos de la Ley de Desarrollo Social del Estado de México. La misma circunstancia aplicará a cualquier otro programa y sus </w:t>
      </w:r>
      <w:r w:rsidRPr="009F2B4A">
        <w:rPr>
          <w:rFonts w:ascii="Palatino Linotype" w:eastAsia="Arial Unicode MS" w:hAnsi="Palatino Linotype" w:cs="Times New Roman"/>
          <w:i/>
          <w:sz w:val="24"/>
          <w:szCs w:val="24"/>
          <w:bdr w:val="nil"/>
        </w:rPr>
        <w:lastRenderedPageBreak/>
        <w:t>ampliaciones del Ejecutivo del Estado que ejerzan los legisladores, sus grupos parlamentarios y las dependencias del Poder Ejecutivo Estatal”</w:t>
      </w:r>
    </w:p>
    <w:p w:rsidR="009F2B4A" w:rsidRPr="009F2B4A" w:rsidRDefault="009F2B4A" w:rsidP="009F2B4A">
      <w:pPr>
        <w:pBdr>
          <w:top w:val="nil"/>
          <w:left w:val="nil"/>
          <w:bottom w:val="nil"/>
          <w:right w:val="nil"/>
          <w:between w:val="nil"/>
          <w:bar w:val="nil"/>
        </w:pBdr>
        <w:spacing w:after="0" w:line="360" w:lineRule="auto"/>
        <w:ind w:right="49"/>
        <w:contextualSpacing/>
        <w:jc w:val="both"/>
        <w:rPr>
          <w:rFonts w:ascii="Palatino Linotype" w:eastAsia="Arial Unicode MS" w:hAnsi="Palatino Linotype" w:cs="Times New Roman"/>
          <w:sz w:val="24"/>
          <w:szCs w:val="24"/>
          <w:bdr w:val="nil"/>
        </w:rPr>
      </w:pPr>
    </w:p>
    <w:p w:rsidR="009F2B4A" w:rsidRPr="009F2B4A" w:rsidRDefault="00050164" w:rsidP="009F2B4A">
      <w:pPr>
        <w:numPr>
          <w:ilvl w:val="0"/>
          <w:numId w:val="27"/>
        </w:numPr>
        <w:pBdr>
          <w:top w:val="nil"/>
          <w:left w:val="nil"/>
          <w:bottom w:val="nil"/>
          <w:right w:val="nil"/>
          <w:between w:val="nil"/>
          <w:bar w:val="nil"/>
        </w:pBdr>
        <w:autoSpaceDE w:val="0"/>
        <w:autoSpaceDN w:val="0"/>
        <w:adjustRightInd w:val="0"/>
        <w:spacing w:after="0" w:line="360" w:lineRule="auto"/>
        <w:ind w:left="0" w:right="50" w:firstLine="0"/>
        <w:contextualSpacing/>
        <w:jc w:val="both"/>
        <w:rPr>
          <w:rFonts w:ascii="Palatino Linotype" w:eastAsia="Calibri" w:hAnsi="Palatino Linotype" w:cs="Arial"/>
          <w:sz w:val="24"/>
          <w:szCs w:val="24"/>
          <w:bdr w:val="nil"/>
          <w:lang w:val="es-ES" w:eastAsia="es-MX"/>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2777489</wp:posOffset>
                </wp:positionV>
                <wp:extent cx="5276850" cy="38195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276850" cy="381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DC5C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218.7pt" to="426.45pt,5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" strokecolor="#5b9bd5 [3204]" strokeweight=".5pt">
                <v:stroke joinstyle="miter"/>
              </v:line>
            </w:pict>
          </mc:Fallback>
        </mc:AlternateContent>
      </w:r>
      <w:r w:rsidR="009F2B4A" w:rsidRPr="009F2B4A">
        <w:rPr>
          <w:rFonts w:ascii="Palatino Linotype" w:eastAsia="Calibri" w:hAnsi="Palatino Linotype" w:cs="Arial"/>
          <w:sz w:val="24"/>
          <w:szCs w:val="24"/>
          <w:bdr w:val="nil"/>
          <w:lang w:val="es-ES" w:eastAsia="es-MX"/>
        </w:rPr>
        <w:t xml:space="preserve">Hasta éste punto se entiende que el Presupuesto de Egresos, contempla una cantidad anual destinada al Programa de Apoyo a la Comunidad, el cual es solicitado a los diputados, quienes a su vez lo gestionan ante la Secretaría de Finanzas, cabe mencionar que los </w:t>
      </w:r>
      <w:r w:rsidR="009F2B4A" w:rsidRPr="009F2B4A">
        <w:rPr>
          <w:rFonts w:ascii="Palatino Linotype" w:eastAsia="Arial Unicode MS" w:hAnsi="Palatino Linotype" w:cs="Times New Roman"/>
          <w:sz w:val="24"/>
          <w:szCs w:val="24"/>
          <w:bdr w:val="nil"/>
        </w:rPr>
        <w:t>Lineamientos para el Ejercicio y Control del Presupuesto Asignado al Programa de Apoyo a la Comunidad tanto de los años 2015, 2016, 2017 como del año 2018, contempla varios formatos, y entre ellos hay uno denominado solicitud de materiales el cual debe ser llenado con datos tanto del beneficiario como del gestor, se inserta una imagen de referencia:</w:t>
      </w:r>
    </w:p>
    <w:p w:rsidR="009F2B4A" w:rsidRPr="009F2B4A" w:rsidRDefault="00050164" w:rsidP="00050164">
      <w:pPr>
        <w:spacing w:before="240" w:after="240" w:line="360" w:lineRule="auto"/>
        <w:ind w:right="49"/>
        <w:contextualSpacing/>
        <w:jc w:val="both"/>
        <w:rPr>
          <w:rFonts w:ascii="Palatino Linotype" w:eastAsia="Calibri" w:hAnsi="Palatino Linotype" w:cs="Arial"/>
          <w:sz w:val="24"/>
          <w:szCs w:val="24"/>
          <w:bdr w:val="nil"/>
          <w:lang w:val="es-ES"/>
        </w:rPr>
      </w:pPr>
      <w:r>
        <w:rPr>
          <w:rFonts w:ascii="Palatino Linotype" w:eastAsia="Arial Unicode MS" w:hAnsi="Palatino Linotype" w:cs="Times New Roman"/>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167639</wp:posOffset>
                </wp:positionH>
                <wp:positionV relativeFrom="paragraph">
                  <wp:posOffset>5693409</wp:posOffset>
                </wp:positionV>
                <wp:extent cx="5343525" cy="17049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343525"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DC20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2pt,448.3pt" to="433.95pt,5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" strokecolor="#5b9bd5 [3204]" strokeweight=".5pt">
                <v:stroke joinstyle="miter"/>
              </v:line>
            </w:pict>
          </mc:Fallback>
        </mc:AlternateContent>
      </w:r>
      <w:r w:rsidR="009F2B4A" w:rsidRPr="009F2B4A">
        <w:rPr>
          <w:rFonts w:ascii="Palatino Linotype" w:eastAsia="Arial Unicode MS" w:hAnsi="Palatino Linotype" w:cs="Times New Roman"/>
          <w:noProof/>
          <w:sz w:val="24"/>
          <w:szCs w:val="24"/>
          <w:bdr w:val="nil"/>
          <w:lang w:eastAsia="es-MX"/>
        </w:rPr>
        <w:drawing>
          <wp:inline distT="0" distB="0" distL="0" distR="0" wp14:anchorId="7B255F52" wp14:editId="63C6C9FE">
            <wp:extent cx="5832689" cy="541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6816" t="10201" r="28377" b="16757"/>
                    <a:stretch/>
                  </pic:blipFill>
                  <pic:spPr bwMode="auto">
                    <a:xfrm>
                      <a:off x="0" y="0"/>
                      <a:ext cx="5837000" cy="5414199"/>
                    </a:xfrm>
                    <a:prstGeom prst="rect">
                      <a:avLst/>
                    </a:prstGeom>
                    <a:ln>
                      <a:noFill/>
                    </a:ln>
                    <a:extLst>
                      <a:ext uri="{53640926-AAD7-44D8-BBD7-CCE9431645EC}">
                        <a14:shadowObscured xmlns:a14="http://schemas.microsoft.com/office/drawing/2010/main"/>
                      </a:ext>
                    </a:extLst>
                  </pic:spPr>
                </pic:pic>
              </a:graphicData>
            </a:graphic>
          </wp:inline>
        </w:drawing>
      </w:r>
    </w:p>
    <w:p w:rsidR="009F2B4A" w:rsidRPr="009F2B4A" w:rsidRDefault="009F2B4A" w:rsidP="00050164">
      <w:pPr>
        <w:spacing w:before="240" w:after="240" w:line="360" w:lineRule="auto"/>
        <w:ind w:right="49"/>
        <w:contextualSpacing/>
        <w:jc w:val="center"/>
        <w:rPr>
          <w:rFonts w:ascii="Palatino Linotype" w:eastAsia="Calibri" w:hAnsi="Palatino Linotype" w:cs="Arial"/>
          <w:sz w:val="24"/>
          <w:szCs w:val="24"/>
          <w:bdr w:val="nil"/>
          <w:lang w:val="es-ES"/>
        </w:rPr>
      </w:pPr>
      <w:r w:rsidRPr="009F2B4A">
        <w:rPr>
          <w:rFonts w:ascii="Palatino Linotype" w:eastAsia="Arial Unicode MS" w:hAnsi="Palatino Linotype" w:cs="Times New Roman"/>
          <w:noProof/>
          <w:sz w:val="24"/>
          <w:szCs w:val="24"/>
          <w:bdr w:val="nil"/>
          <w:lang w:eastAsia="es-MX"/>
        </w:rPr>
        <w:lastRenderedPageBreak/>
        <w:drawing>
          <wp:inline distT="0" distB="0" distL="0" distR="0" wp14:anchorId="5C400331" wp14:editId="1EC75A8D">
            <wp:extent cx="5086350" cy="740200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6646" t="5733" r="28038"/>
                    <a:stretch/>
                  </pic:blipFill>
                  <pic:spPr bwMode="auto">
                    <a:xfrm>
                      <a:off x="0" y="0"/>
                      <a:ext cx="5089238" cy="7406206"/>
                    </a:xfrm>
                    <a:prstGeom prst="rect">
                      <a:avLst/>
                    </a:prstGeom>
                    <a:ln>
                      <a:noFill/>
                    </a:ln>
                    <a:extLst>
                      <a:ext uri="{53640926-AAD7-44D8-BBD7-CCE9431645EC}">
                        <a14:shadowObscured xmlns:a14="http://schemas.microsoft.com/office/drawing/2010/main"/>
                      </a:ext>
                    </a:extLst>
                  </pic:spPr>
                </pic:pic>
              </a:graphicData>
            </a:graphic>
          </wp:inline>
        </w:drawing>
      </w:r>
    </w:p>
    <w:p w:rsidR="009F2B4A" w:rsidRPr="009F2B4A" w:rsidRDefault="009F2B4A" w:rsidP="009F2B4A">
      <w:pPr>
        <w:numPr>
          <w:ilvl w:val="0"/>
          <w:numId w:val="27"/>
        </w:numPr>
        <w:pBdr>
          <w:top w:val="nil"/>
          <w:left w:val="nil"/>
          <w:bottom w:val="nil"/>
          <w:right w:val="nil"/>
          <w:between w:val="nil"/>
          <w:bar w:val="nil"/>
        </w:pBdr>
        <w:autoSpaceDE w:val="0"/>
        <w:autoSpaceDN w:val="0"/>
        <w:adjustRightInd w:val="0"/>
        <w:spacing w:after="0" w:line="360" w:lineRule="auto"/>
        <w:ind w:left="0" w:right="50" w:firstLine="0"/>
        <w:contextualSpacing/>
        <w:jc w:val="both"/>
        <w:rPr>
          <w:rFonts w:ascii="Palatino Linotype" w:eastAsia="Calibri" w:hAnsi="Palatino Linotype" w:cs="Arial"/>
          <w:sz w:val="24"/>
          <w:szCs w:val="24"/>
          <w:bdr w:val="nil"/>
          <w:lang w:val="es-ES" w:eastAsia="es-MX"/>
        </w:rPr>
      </w:pPr>
      <w:r w:rsidRPr="009F2B4A">
        <w:rPr>
          <w:rFonts w:ascii="Palatino Linotype" w:eastAsia="Calibri" w:hAnsi="Palatino Linotype" w:cs="Arial"/>
          <w:sz w:val="24"/>
          <w:szCs w:val="24"/>
          <w:bdr w:val="nil"/>
          <w:lang w:val="es-ES" w:eastAsia="es-MX"/>
        </w:rPr>
        <w:lastRenderedPageBreak/>
        <w:t xml:space="preserve">Entonces, en el contenido del formato señalado se observa información que puede cumplir con lo requerido en la solicitud de información, toda vez que contiene datos como nombre y firma del gestor, municipio y comunidad, </w:t>
      </w:r>
      <w:r w:rsidRPr="009F2B4A">
        <w:rPr>
          <w:rFonts w:ascii="Palatino Linotype" w:eastAsia="Calibri" w:hAnsi="Palatino Linotype" w:cs="Arial"/>
          <w:b/>
          <w:sz w:val="24"/>
          <w:szCs w:val="24"/>
          <w:u w:val="single"/>
          <w:bdr w:val="nil"/>
          <w:lang w:val="es-ES" w:eastAsia="es-MX"/>
        </w:rPr>
        <w:t>apoyo otorgado y cantidad</w:t>
      </w:r>
      <w:r w:rsidRPr="009F2B4A">
        <w:rPr>
          <w:rFonts w:ascii="Palatino Linotype" w:eastAsia="Calibri" w:hAnsi="Palatino Linotype" w:cs="Arial"/>
          <w:sz w:val="24"/>
          <w:szCs w:val="24"/>
          <w:bdr w:val="nil"/>
          <w:lang w:val="es-ES" w:eastAsia="es-MX"/>
        </w:rPr>
        <w:t xml:space="preserve">, sello de </w:t>
      </w:r>
      <w:r>
        <w:rPr>
          <w:rFonts w:ascii="Palatino Linotype" w:eastAsia="Calibri" w:hAnsi="Palatino Linotype" w:cs="Arial"/>
          <w:sz w:val="24"/>
          <w:szCs w:val="24"/>
          <w:bdr w:val="nil"/>
          <w:lang w:val="es-ES" w:eastAsia="es-MX"/>
        </w:rPr>
        <w:t xml:space="preserve">autorización, </w:t>
      </w:r>
      <w:r w:rsidRPr="009F2B4A">
        <w:rPr>
          <w:rFonts w:ascii="Palatino Linotype" w:eastAsia="Calibri" w:hAnsi="Palatino Linotype" w:cs="Arial"/>
          <w:sz w:val="24"/>
          <w:szCs w:val="24"/>
          <w:bdr w:val="nil"/>
          <w:lang w:val="es-ES" w:eastAsia="es-MX"/>
        </w:rPr>
        <w:t>cantidad autorizada</w:t>
      </w:r>
      <w:r>
        <w:rPr>
          <w:rFonts w:ascii="Palatino Linotype" w:eastAsia="Calibri" w:hAnsi="Palatino Linotype" w:cs="Arial"/>
          <w:sz w:val="24"/>
          <w:szCs w:val="24"/>
          <w:bdr w:val="nil"/>
          <w:lang w:val="es-ES" w:eastAsia="es-MX"/>
        </w:rPr>
        <w:t xml:space="preserve"> y </w:t>
      </w:r>
      <w:r w:rsidRPr="009F2B4A">
        <w:rPr>
          <w:rFonts w:ascii="Palatino Linotype" w:eastAsia="Calibri" w:hAnsi="Palatino Linotype" w:cs="Arial"/>
          <w:b/>
          <w:sz w:val="24"/>
          <w:szCs w:val="24"/>
          <w:bdr w:val="nil"/>
          <w:lang w:val="es-ES" w:eastAsia="es-MX"/>
        </w:rPr>
        <w:t>recepción</w:t>
      </w:r>
      <w:r w:rsidRPr="009F2B4A">
        <w:rPr>
          <w:rFonts w:ascii="Palatino Linotype" w:eastAsia="Calibri" w:hAnsi="Palatino Linotype" w:cs="Arial"/>
          <w:sz w:val="24"/>
          <w:szCs w:val="24"/>
          <w:bdr w:val="nil"/>
          <w:lang w:val="es-ES" w:eastAsia="es-MX"/>
        </w:rPr>
        <w:t xml:space="preserve">, entre otros, que si bien, no es tal y como </w:t>
      </w:r>
      <w:r w:rsidR="00C16BE5">
        <w:rPr>
          <w:rFonts w:ascii="Palatino Linotype" w:eastAsia="Calibri" w:hAnsi="Palatino Linotype" w:cs="Arial"/>
          <w:sz w:val="24"/>
          <w:szCs w:val="24"/>
          <w:bdr w:val="nil"/>
          <w:lang w:val="es-ES" w:eastAsia="es-MX"/>
        </w:rPr>
        <w:t xml:space="preserve">lo requiere la particular, </w:t>
      </w:r>
      <w:r w:rsidRPr="009F2B4A">
        <w:rPr>
          <w:rFonts w:ascii="Palatino Linotype" w:eastAsia="Calibri" w:hAnsi="Palatino Linotype" w:cs="Arial"/>
          <w:sz w:val="24"/>
          <w:szCs w:val="24"/>
          <w:bdr w:val="nil"/>
          <w:lang w:val="es-ES" w:eastAsia="es-MX"/>
        </w:rPr>
        <w:t>es análogo, para lo cual sirve de apoyo el artículo 12 de la Ley de Transparencia y Acceso a la Información Pública del Estado de México y Municipios que refiere lo siguiente:</w:t>
      </w:r>
    </w:p>
    <w:p w:rsidR="009F2B4A" w:rsidRPr="009F2B4A" w:rsidRDefault="009F2B4A" w:rsidP="009F2B4A">
      <w:pPr>
        <w:autoSpaceDE w:val="0"/>
        <w:autoSpaceDN w:val="0"/>
        <w:adjustRightInd w:val="0"/>
        <w:spacing w:line="360" w:lineRule="auto"/>
        <w:ind w:right="50"/>
        <w:contextualSpacing/>
        <w:jc w:val="both"/>
        <w:rPr>
          <w:rFonts w:ascii="Palatino Linotype" w:eastAsia="Calibri" w:hAnsi="Palatino Linotype" w:cs="Arial"/>
          <w:sz w:val="24"/>
          <w:szCs w:val="24"/>
          <w:bdr w:val="nil"/>
          <w:lang w:val="es-ES" w:eastAsia="es-MX"/>
        </w:rPr>
      </w:pPr>
    </w:p>
    <w:p w:rsidR="009F2B4A" w:rsidRPr="00050164" w:rsidRDefault="009F2B4A" w:rsidP="009F2B4A">
      <w:pPr>
        <w:pBdr>
          <w:top w:val="nil"/>
          <w:left w:val="nil"/>
          <w:bottom w:val="nil"/>
          <w:right w:val="nil"/>
          <w:between w:val="nil"/>
          <w:bar w:val="nil"/>
        </w:pBdr>
        <w:autoSpaceDE w:val="0"/>
        <w:autoSpaceDN w:val="0"/>
        <w:adjustRightInd w:val="0"/>
        <w:spacing w:after="0" w:line="360" w:lineRule="auto"/>
        <w:ind w:left="567" w:right="567"/>
        <w:jc w:val="both"/>
        <w:rPr>
          <w:rFonts w:ascii="Palatino Linotype" w:eastAsia="Arial Unicode MS" w:hAnsi="Palatino Linotype" w:cs="Bookman Old Style"/>
          <w:i/>
          <w:bdr w:val="nil"/>
          <w:lang w:val="es-ES"/>
        </w:rPr>
      </w:pPr>
      <w:r w:rsidRPr="00050164">
        <w:rPr>
          <w:rFonts w:ascii="Palatino Linotype" w:eastAsia="Arial Unicode MS" w:hAnsi="Palatino Linotype" w:cs="Bookman Old Style,Bold"/>
          <w:b/>
          <w:bCs/>
          <w:i/>
          <w:bdr w:val="nil"/>
          <w:lang w:val="es-ES"/>
        </w:rPr>
        <w:t xml:space="preserve">Artículo 12. </w:t>
      </w:r>
      <w:r w:rsidRPr="00050164">
        <w:rPr>
          <w:rFonts w:ascii="Palatino Linotype" w:eastAsia="Arial Unicode MS" w:hAnsi="Palatino Linotype" w:cs="Bookman Old Style"/>
          <w:i/>
          <w:bdr w:val="nil"/>
          <w:lang w:val="es-ES"/>
        </w:rPr>
        <w:t>Quienes generen, recopilen, administren, manejen, procesen, archiven o conserven información pública serán responsables de la misma en los términos de las disposiciones jurídicas aplicables.</w:t>
      </w:r>
    </w:p>
    <w:p w:rsidR="0036337A" w:rsidRPr="00050164" w:rsidRDefault="0036337A" w:rsidP="009F2B4A">
      <w:pPr>
        <w:pBdr>
          <w:top w:val="nil"/>
          <w:left w:val="nil"/>
          <w:bottom w:val="nil"/>
          <w:right w:val="nil"/>
          <w:between w:val="nil"/>
          <w:bar w:val="nil"/>
        </w:pBdr>
        <w:autoSpaceDE w:val="0"/>
        <w:autoSpaceDN w:val="0"/>
        <w:adjustRightInd w:val="0"/>
        <w:spacing w:after="0" w:line="360" w:lineRule="auto"/>
        <w:ind w:left="567" w:right="567"/>
        <w:jc w:val="both"/>
        <w:rPr>
          <w:rFonts w:ascii="Palatino Linotype" w:eastAsia="Arial Unicode MS" w:hAnsi="Palatino Linotype" w:cs="Bookman Old Style"/>
          <w:i/>
          <w:bdr w:val="nil"/>
          <w:lang w:val="es-ES"/>
        </w:rPr>
      </w:pPr>
    </w:p>
    <w:p w:rsidR="009F2B4A" w:rsidRPr="00050164" w:rsidRDefault="009F2B4A" w:rsidP="009F2B4A">
      <w:pPr>
        <w:pBdr>
          <w:top w:val="nil"/>
          <w:left w:val="nil"/>
          <w:bottom w:val="nil"/>
          <w:right w:val="nil"/>
          <w:between w:val="nil"/>
          <w:bar w:val="nil"/>
        </w:pBdr>
        <w:autoSpaceDE w:val="0"/>
        <w:autoSpaceDN w:val="0"/>
        <w:adjustRightInd w:val="0"/>
        <w:spacing w:after="0" w:line="360" w:lineRule="auto"/>
        <w:ind w:left="567" w:right="567"/>
        <w:jc w:val="both"/>
        <w:rPr>
          <w:rFonts w:ascii="Palatino Linotype" w:eastAsia="Calibri" w:hAnsi="Palatino Linotype" w:cs="Arial"/>
          <w:i/>
          <w:bdr w:val="nil"/>
          <w:lang w:val="es-ES" w:eastAsia="es-MX"/>
        </w:rPr>
      </w:pPr>
      <w:r w:rsidRPr="00050164">
        <w:rPr>
          <w:rFonts w:ascii="Palatino Linotype" w:eastAsia="Arial Unicode MS" w:hAnsi="Palatino Linotype" w:cs="Bookman Old Style"/>
          <w:i/>
          <w:bdr w:val="nil"/>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B1C23" w:rsidRPr="009F2B4A" w:rsidRDefault="00CB1C23" w:rsidP="009F2B4A">
      <w:pPr>
        <w:pBdr>
          <w:top w:val="nil"/>
          <w:left w:val="nil"/>
          <w:bottom w:val="nil"/>
          <w:right w:val="nil"/>
          <w:between w:val="nil"/>
          <w:bar w:val="nil"/>
        </w:pBdr>
        <w:autoSpaceDE w:val="0"/>
        <w:autoSpaceDN w:val="0"/>
        <w:adjustRightInd w:val="0"/>
        <w:spacing w:line="360" w:lineRule="auto"/>
        <w:ind w:right="50"/>
        <w:contextualSpacing/>
        <w:jc w:val="both"/>
        <w:rPr>
          <w:rFonts w:ascii="Palatino Linotype" w:eastAsia="Calibri" w:hAnsi="Palatino Linotype" w:cs="Arial"/>
          <w:sz w:val="24"/>
          <w:szCs w:val="24"/>
          <w:bdr w:val="nil"/>
          <w:lang w:val="es-ES" w:eastAsia="es-MX"/>
        </w:rPr>
      </w:pPr>
    </w:p>
    <w:p w:rsidR="00663A4B" w:rsidRPr="00663A4B" w:rsidRDefault="0036337A" w:rsidP="00663A4B">
      <w:pPr>
        <w:numPr>
          <w:ilvl w:val="0"/>
          <w:numId w:val="27"/>
        </w:numPr>
        <w:pBdr>
          <w:top w:val="nil"/>
          <w:left w:val="nil"/>
          <w:bottom w:val="nil"/>
          <w:right w:val="nil"/>
          <w:between w:val="nil"/>
          <w:bar w:val="nil"/>
        </w:pBdr>
        <w:autoSpaceDE w:val="0"/>
        <w:autoSpaceDN w:val="0"/>
        <w:adjustRightInd w:val="0"/>
        <w:spacing w:after="0" w:line="360" w:lineRule="auto"/>
        <w:ind w:left="0" w:right="50" w:firstLine="0"/>
        <w:contextualSpacing/>
        <w:jc w:val="both"/>
        <w:rPr>
          <w:rFonts w:ascii="Palatino Linotype" w:eastAsia="Calibri" w:hAnsi="Palatino Linotype" w:cs="Arial"/>
          <w:sz w:val="24"/>
          <w:szCs w:val="24"/>
          <w:bdr w:val="nil"/>
          <w:lang w:val="es-ES" w:eastAsia="es-MX"/>
        </w:rPr>
      </w:pPr>
      <w:r>
        <w:rPr>
          <w:rFonts w:ascii="Palatino Linotype" w:eastAsia="Calibri" w:hAnsi="Palatino Linotype" w:cs="Arial"/>
          <w:sz w:val="24"/>
          <w:szCs w:val="24"/>
          <w:bdr w:val="nil"/>
          <w:lang w:val="es-ES" w:eastAsia="es-MX"/>
        </w:rPr>
        <w:t xml:space="preserve">Así mismo </w:t>
      </w:r>
      <w:r w:rsidR="00663A4B" w:rsidRPr="00663A4B">
        <w:rPr>
          <w:rFonts w:ascii="Palatino Linotype" w:eastAsia="Calibri" w:hAnsi="Palatino Linotype" w:cs="Arial"/>
          <w:sz w:val="24"/>
          <w:szCs w:val="24"/>
          <w:bdr w:val="nil"/>
          <w:lang w:val="es-ES" w:eastAsia="es-MX"/>
        </w:rPr>
        <w:t xml:space="preserve">la </w:t>
      </w:r>
      <w:r w:rsidR="00663A4B" w:rsidRPr="00663A4B">
        <w:rPr>
          <w:rFonts w:ascii="Palatino Linotype" w:eastAsia="Calibri" w:hAnsi="Palatino Linotype" w:cs="Arial"/>
          <w:b/>
          <w:sz w:val="24"/>
          <w:szCs w:val="24"/>
          <w:bdr w:val="nil"/>
          <w:lang w:val="es-ES" w:eastAsia="es-MX"/>
        </w:rPr>
        <w:t>Constitución Política de los Estados Unidos Mexicanos</w:t>
      </w:r>
      <w:r w:rsidR="00663A4B" w:rsidRPr="00663A4B">
        <w:rPr>
          <w:rFonts w:ascii="Palatino Linotype" w:eastAsia="Calibri" w:hAnsi="Palatino Linotype" w:cs="Arial"/>
          <w:sz w:val="24"/>
          <w:szCs w:val="24"/>
          <w:bdr w:val="nil"/>
          <w:lang w:val="es-ES" w:eastAsia="es-MX"/>
        </w:rPr>
        <w:t>, en el artículo 6 apartado A fracción I establece lo siguiente:</w:t>
      </w:r>
    </w:p>
    <w:p w:rsidR="00663A4B" w:rsidRPr="00663A4B" w:rsidRDefault="00663A4B" w:rsidP="00663A4B">
      <w:pPr>
        <w:autoSpaceDE w:val="0"/>
        <w:autoSpaceDN w:val="0"/>
        <w:adjustRightInd w:val="0"/>
        <w:spacing w:line="360" w:lineRule="auto"/>
        <w:ind w:right="50"/>
        <w:contextualSpacing/>
        <w:jc w:val="both"/>
        <w:rPr>
          <w:rFonts w:ascii="Palatino Linotype" w:eastAsia="Calibri" w:hAnsi="Palatino Linotype" w:cs="Arial"/>
          <w:sz w:val="24"/>
          <w:szCs w:val="24"/>
          <w:bdr w:val="nil"/>
          <w:lang w:val="es-ES" w:eastAsia="es-MX"/>
        </w:rPr>
      </w:pPr>
    </w:p>
    <w:p w:rsidR="00663A4B" w:rsidRPr="00050164" w:rsidRDefault="00663A4B" w:rsidP="003B21E3">
      <w:pPr>
        <w:pBdr>
          <w:top w:val="nil"/>
          <w:left w:val="nil"/>
          <w:bottom w:val="nil"/>
          <w:right w:val="nil"/>
          <w:between w:val="nil"/>
          <w:bar w:val="nil"/>
        </w:pBdr>
        <w:autoSpaceDE w:val="0"/>
        <w:autoSpaceDN w:val="0"/>
        <w:adjustRightInd w:val="0"/>
        <w:spacing w:line="240" w:lineRule="auto"/>
        <w:ind w:left="567" w:right="618"/>
        <w:contextualSpacing/>
        <w:jc w:val="both"/>
        <w:rPr>
          <w:rFonts w:ascii="Palatino Linotype" w:eastAsia="Calibri" w:hAnsi="Palatino Linotype" w:cs="Arial"/>
          <w:bdr w:val="nil"/>
          <w:lang w:val="es-ES" w:eastAsia="es-MX"/>
        </w:rPr>
      </w:pPr>
      <w:r w:rsidRPr="00050164">
        <w:rPr>
          <w:rFonts w:ascii="Palatino Linotype" w:eastAsia="Calibri" w:hAnsi="Palatino Linotype" w:cs="Arial"/>
          <w:bdr w:val="nil"/>
          <w:lang w:val="es-ES" w:eastAsia="es-MX"/>
        </w:rPr>
        <w:t>(…)</w:t>
      </w:r>
    </w:p>
    <w:p w:rsidR="00663A4B" w:rsidRPr="00050164" w:rsidRDefault="00663A4B" w:rsidP="003B21E3">
      <w:pPr>
        <w:numPr>
          <w:ilvl w:val="5"/>
          <w:numId w:val="40"/>
        </w:numPr>
        <w:pBdr>
          <w:top w:val="nil"/>
          <w:left w:val="nil"/>
          <w:bottom w:val="nil"/>
          <w:right w:val="nil"/>
          <w:between w:val="nil"/>
          <w:bar w:val="nil"/>
        </w:pBdr>
        <w:autoSpaceDE w:val="0"/>
        <w:autoSpaceDN w:val="0"/>
        <w:adjustRightInd w:val="0"/>
        <w:spacing w:after="0" w:line="240" w:lineRule="auto"/>
        <w:ind w:left="567" w:right="618" w:firstLine="0"/>
        <w:contextualSpacing/>
        <w:jc w:val="both"/>
        <w:rPr>
          <w:rFonts w:ascii="Palatino Linotype" w:eastAsia="Calibri" w:hAnsi="Palatino Linotype" w:cs="Arial"/>
          <w:i/>
          <w:bdr w:val="nil"/>
          <w:lang w:val="es-ES" w:eastAsia="es-MX"/>
        </w:rPr>
      </w:pPr>
      <w:r w:rsidRPr="00050164">
        <w:rPr>
          <w:rFonts w:ascii="Palatino Linotype" w:eastAsia="Arial Unicode MS" w:hAnsi="Palatino Linotype" w:cs="Times New Roman"/>
          <w:i/>
          <w:bdr w:val="nil"/>
        </w:rPr>
        <w:lastRenderedPageBreak/>
        <w:t>Para el ejercicio del derecho de acceso a la información, la Federación y las entidades federativas, en el ámbito de sus respectivas competencias, se regirán por los siguientes principios y bases:</w:t>
      </w:r>
    </w:p>
    <w:p w:rsidR="00663A4B" w:rsidRPr="00050164" w:rsidRDefault="00663A4B" w:rsidP="003B21E3">
      <w:pPr>
        <w:pBdr>
          <w:top w:val="nil"/>
          <w:left w:val="nil"/>
          <w:bottom w:val="nil"/>
          <w:right w:val="nil"/>
          <w:between w:val="nil"/>
          <w:bar w:val="nil"/>
        </w:pBdr>
        <w:autoSpaceDE w:val="0"/>
        <w:autoSpaceDN w:val="0"/>
        <w:adjustRightInd w:val="0"/>
        <w:spacing w:line="240" w:lineRule="auto"/>
        <w:ind w:left="567" w:right="618"/>
        <w:contextualSpacing/>
        <w:jc w:val="both"/>
        <w:rPr>
          <w:rFonts w:ascii="Palatino Linotype" w:eastAsia="Calibri" w:hAnsi="Palatino Linotype" w:cs="Arial"/>
          <w:bdr w:val="nil"/>
          <w:lang w:val="es-ES" w:eastAsia="es-MX"/>
        </w:rPr>
      </w:pPr>
    </w:p>
    <w:p w:rsidR="00663A4B" w:rsidRPr="00050164" w:rsidRDefault="00663A4B" w:rsidP="003B21E3">
      <w:pPr>
        <w:numPr>
          <w:ilvl w:val="1"/>
          <w:numId w:val="39"/>
        </w:numPr>
        <w:pBdr>
          <w:top w:val="nil"/>
          <w:left w:val="nil"/>
          <w:bottom w:val="nil"/>
          <w:right w:val="nil"/>
          <w:between w:val="nil"/>
          <w:bar w:val="nil"/>
        </w:pBdr>
        <w:autoSpaceDE w:val="0"/>
        <w:autoSpaceDN w:val="0"/>
        <w:adjustRightInd w:val="0"/>
        <w:spacing w:after="0" w:line="240" w:lineRule="auto"/>
        <w:ind w:left="567" w:right="618" w:firstLine="0"/>
        <w:contextualSpacing/>
        <w:jc w:val="both"/>
        <w:rPr>
          <w:rFonts w:ascii="Palatino Linotype" w:eastAsia="Calibri" w:hAnsi="Palatino Linotype" w:cs="Arial"/>
          <w:i/>
          <w:bdr w:val="nil"/>
          <w:lang w:val="es-ES" w:eastAsia="es-MX"/>
        </w:rPr>
      </w:pPr>
      <w:r w:rsidRPr="00050164">
        <w:rPr>
          <w:rFonts w:ascii="Palatino Linotype" w:eastAsia="Arial Unicode MS" w:hAnsi="Palatino Linotype" w:cs="Times New Roman"/>
          <w:i/>
          <w:bdr w:val="ni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6337A" w:rsidRPr="0036337A" w:rsidRDefault="00663A4B" w:rsidP="003B21E3">
      <w:pPr>
        <w:pBdr>
          <w:top w:val="nil"/>
          <w:left w:val="nil"/>
          <w:bottom w:val="nil"/>
          <w:right w:val="nil"/>
          <w:between w:val="nil"/>
          <w:bar w:val="nil"/>
        </w:pBdr>
        <w:autoSpaceDE w:val="0"/>
        <w:autoSpaceDN w:val="0"/>
        <w:adjustRightInd w:val="0"/>
        <w:spacing w:line="240" w:lineRule="auto"/>
        <w:ind w:left="567" w:right="618"/>
        <w:jc w:val="both"/>
        <w:rPr>
          <w:rFonts w:ascii="Palatino Linotype" w:eastAsia="Arial Unicode MS" w:hAnsi="Palatino Linotype" w:cs="Times New Roman"/>
          <w:i/>
          <w:sz w:val="24"/>
          <w:szCs w:val="24"/>
          <w:bdr w:val="nil"/>
        </w:rPr>
      </w:pPr>
      <w:r w:rsidRPr="00663A4B">
        <w:rPr>
          <w:rFonts w:ascii="Palatino Linotype" w:eastAsia="Arial Unicode MS" w:hAnsi="Palatino Linotype" w:cs="Times New Roman"/>
          <w:i/>
          <w:sz w:val="24"/>
          <w:szCs w:val="24"/>
          <w:bdr w:val="nil"/>
        </w:rPr>
        <w:t>(…)</w:t>
      </w:r>
    </w:p>
    <w:p w:rsidR="0036337A" w:rsidRPr="006B0801" w:rsidRDefault="0036337A" w:rsidP="006B0801">
      <w:pPr>
        <w:numPr>
          <w:ilvl w:val="0"/>
          <w:numId w:val="27"/>
        </w:numPr>
        <w:pBdr>
          <w:top w:val="nil"/>
          <w:left w:val="nil"/>
          <w:bottom w:val="nil"/>
          <w:right w:val="nil"/>
          <w:between w:val="nil"/>
          <w:bar w:val="nil"/>
        </w:pBdr>
        <w:autoSpaceDE w:val="0"/>
        <w:autoSpaceDN w:val="0"/>
        <w:adjustRightInd w:val="0"/>
        <w:spacing w:after="0" w:line="360" w:lineRule="auto"/>
        <w:ind w:left="0" w:right="50" w:firstLine="0"/>
        <w:contextualSpacing/>
        <w:jc w:val="both"/>
        <w:rPr>
          <w:rFonts w:ascii="Palatino Linotype" w:eastAsia="Arial Unicode MS" w:hAnsi="Palatino Linotype" w:cs="Bookman Old Style"/>
          <w:i/>
          <w:sz w:val="24"/>
          <w:szCs w:val="24"/>
          <w:bdr w:val="nil"/>
          <w:lang w:val="es-ES"/>
        </w:rPr>
      </w:pPr>
      <w:r>
        <w:rPr>
          <w:rFonts w:ascii="Palatino Linotype" w:eastAsia="Arial Unicode MS" w:hAnsi="Palatino Linotype" w:cs="Bookman Old Style"/>
          <w:sz w:val="24"/>
          <w:szCs w:val="24"/>
          <w:bdr w:val="nil"/>
          <w:lang w:val="es-ES"/>
        </w:rPr>
        <w:t xml:space="preserve">Por su parte el </w:t>
      </w:r>
      <w:r w:rsidR="006B0801">
        <w:rPr>
          <w:rFonts w:ascii="Palatino Linotype" w:eastAsia="Arial Unicode MS" w:hAnsi="Palatino Linotype" w:cs="Bookman Old Style"/>
          <w:sz w:val="24"/>
          <w:szCs w:val="24"/>
          <w:bdr w:val="nil"/>
          <w:lang w:val="es-ES"/>
        </w:rPr>
        <w:t>artículo 19 de la Ley de Transparencia y A</w:t>
      </w:r>
      <w:r w:rsidR="006B0801" w:rsidRPr="006B0801">
        <w:rPr>
          <w:rFonts w:ascii="Palatino Linotype" w:eastAsia="Arial Unicode MS" w:hAnsi="Palatino Linotype" w:cs="Bookman Old Style"/>
          <w:sz w:val="24"/>
          <w:szCs w:val="24"/>
          <w:bdr w:val="nil"/>
          <w:lang w:val="es-ES"/>
        </w:rPr>
        <w:t xml:space="preserve">cceso a la </w:t>
      </w:r>
      <w:r w:rsidR="006B0801">
        <w:rPr>
          <w:rFonts w:ascii="Palatino Linotype" w:eastAsia="Arial Unicode MS" w:hAnsi="Palatino Linotype" w:cs="Bookman Old Style"/>
          <w:sz w:val="24"/>
          <w:szCs w:val="24"/>
          <w:bdr w:val="nil"/>
          <w:lang w:val="es-ES"/>
        </w:rPr>
        <w:t>I</w:t>
      </w:r>
      <w:r w:rsidR="006B0801" w:rsidRPr="006B0801">
        <w:rPr>
          <w:rFonts w:ascii="Palatino Linotype" w:eastAsia="Arial Unicode MS" w:hAnsi="Palatino Linotype" w:cs="Bookman Old Style"/>
          <w:sz w:val="24"/>
          <w:szCs w:val="24"/>
          <w:bdr w:val="nil"/>
          <w:lang w:val="es-ES"/>
        </w:rPr>
        <w:t xml:space="preserve">nformación </w:t>
      </w:r>
      <w:r w:rsidR="006B0801">
        <w:rPr>
          <w:rFonts w:ascii="Palatino Linotype" w:eastAsia="Arial Unicode MS" w:hAnsi="Palatino Linotype" w:cs="Bookman Old Style"/>
          <w:sz w:val="24"/>
          <w:szCs w:val="24"/>
          <w:bdr w:val="nil"/>
          <w:lang w:val="es-ES"/>
        </w:rPr>
        <w:t>P</w:t>
      </w:r>
      <w:r w:rsidR="006B0801" w:rsidRPr="006B0801">
        <w:rPr>
          <w:rFonts w:ascii="Palatino Linotype" w:eastAsia="Arial Unicode MS" w:hAnsi="Palatino Linotype" w:cs="Bookman Old Style"/>
          <w:sz w:val="24"/>
          <w:szCs w:val="24"/>
          <w:bdr w:val="nil"/>
          <w:lang w:val="es-ES"/>
        </w:rPr>
        <w:t xml:space="preserve">ública del Estado de México y Municipios </w:t>
      </w:r>
      <w:r w:rsidR="006B0801">
        <w:rPr>
          <w:rFonts w:ascii="Palatino Linotype" w:eastAsia="Arial Unicode MS" w:hAnsi="Palatino Linotype" w:cs="Bookman Old Style"/>
          <w:sz w:val="24"/>
          <w:szCs w:val="24"/>
          <w:bdr w:val="nil"/>
          <w:lang w:val="es-ES"/>
        </w:rPr>
        <w:t xml:space="preserve">refiere lo siguiente: </w:t>
      </w:r>
    </w:p>
    <w:p w:rsidR="006B0801" w:rsidRPr="006B0801" w:rsidRDefault="006B0801" w:rsidP="006B0801">
      <w:pPr>
        <w:pBdr>
          <w:top w:val="nil"/>
          <w:left w:val="nil"/>
          <w:bottom w:val="nil"/>
          <w:right w:val="nil"/>
          <w:between w:val="nil"/>
          <w:bar w:val="nil"/>
        </w:pBdr>
        <w:autoSpaceDE w:val="0"/>
        <w:autoSpaceDN w:val="0"/>
        <w:adjustRightInd w:val="0"/>
        <w:spacing w:after="0" w:line="360" w:lineRule="auto"/>
        <w:ind w:right="50"/>
        <w:contextualSpacing/>
        <w:jc w:val="both"/>
        <w:rPr>
          <w:rFonts w:ascii="Palatino Linotype" w:eastAsia="Arial Unicode MS" w:hAnsi="Palatino Linotype" w:cs="Bookman Old Style"/>
          <w:i/>
          <w:sz w:val="24"/>
          <w:szCs w:val="24"/>
          <w:bdr w:val="nil"/>
          <w:lang w:val="es-ES"/>
        </w:rPr>
      </w:pPr>
    </w:p>
    <w:p w:rsidR="006B0801" w:rsidRPr="00050164" w:rsidRDefault="006B0801" w:rsidP="006B0801">
      <w:pPr>
        <w:pBdr>
          <w:top w:val="nil"/>
          <w:left w:val="nil"/>
          <w:bottom w:val="nil"/>
          <w:right w:val="nil"/>
          <w:between w:val="nil"/>
          <w:bar w:val="nil"/>
        </w:pBdr>
        <w:autoSpaceDE w:val="0"/>
        <w:autoSpaceDN w:val="0"/>
        <w:adjustRightInd w:val="0"/>
        <w:spacing w:after="0" w:line="360" w:lineRule="auto"/>
        <w:ind w:left="567" w:right="616"/>
        <w:contextualSpacing/>
        <w:jc w:val="both"/>
        <w:rPr>
          <w:rFonts w:ascii="Palatino Linotype" w:eastAsia="Arial Unicode MS" w:hAnsi="Palatino Linotype" w:cs="Bookman Old Style"/>
          <w:i/>
          <w:bdr w:val="nil"/>
        </w:rPr>
      </w:pPr>
      <w:r w:rsidRPr="00050164">
        <w:rPr>
          <w:rFonts w:ascii="Palatino Linotype" w:eastAsia="Arial Unicode MS" w:hAnsi="Palatino Linotype" w:cs="Bookman Old Style"/>
          <w:b/>
          <w:i/>
          <w:bdr w:val="nil"/>
        </w:rPr>
        <w:t>Artículo 19.</w:t>
      </w:r>
      <w:r w:rsidRPr="00050164">
        <w:rPr>
          <w:rFonts w:ascii="Palatino Linotype" w:eastAsia="Arial Unicode MS" w:hAnsi="Palatino Linotype" w:cs="Bookman Old Style"/>
          <w:i/>
          <w:bdr w:val="nil"/>
        </w:rPr>
        <w:t xml:space="preserve"> Se presume que la información debe existir si se refiere a las facultades, competencias y funciones que los ordenamientos jurídicos aplicables otorgan a los sujetos obligados. </w:t>
      </w:r>
    </w:p>
    <w:p w:rsidR="006B0801" w:rsidRPr="00050164" w:rsidRDefault="006B0801" w:rsidP="006B0801">
      <w:pPr>
        <w:pBdr>
          <w:top w:val="nil"/>
          <w:left w:val="nil"/>
          <w:bottom w:val="nil"/>
          <w:right w:val="nil"/>
          <w:between w:val="nil"/>
          <w:bar w:val="nil"/>
        </w:pBdr>
        <w:autoSpaceDE w:val="0"/>
        <w:autoSpaceDN w:val="0"/>
        <w:adjustRightInd w:val="0"/>
        <w:spacing w:after="0" w:line="360" w:lineRule="auto"/>
        <w:ind w:left="567" w:right="616"/>
        <w:contextualSpacing/>
        <w:jc w:val="both"/>
        <w:rPr>
          <w:rFonts w:ascii="Palatino Linotype" w:eastAsia="Arial Unicode MS" w:hAnsi="Palatino Linotype" w:cs="Bookman Old Style"/>
          <w:i/>
          <w:bdr w:val="nil"/>
        </w:rPr>
      </w:pPr>
      <w:r w:rsidRPr="00050164">
        <w:rPr>
          <w:rFonts w:ascii="Palatino Linotype" w:eastAsia="Arial Unicode MS" w:hAnsi="Palatino Linotype" w:cs="Bookman Old Style"/>
          <w:i/>
          <w:bdr w:val="nil"/>
        </w:rPr>
        <w:t xml:space="preserve">En los casos en que ciertas facultades, competencias o funciones no se hayan ejercido, se debe motivar la respuesta en función de las causas que motiven tal circunstancia. </w:t>
      </w:r>
    </w:p>
    <w:p w:rsidR="0036337A" w:rsidRPr="00050164" w:rsidRDefault="006B0801" w:rsidP="006B0801">
      <w:pPr>
        <w:pBdr>
          <w:top w:val="nil"/>
          <w:left w:val="nil"/>
          <w:bottom w:val="nil"/>
          <w:right w:val="nil"/>
          <w:between w:val="nil"/>
          <w:bar w:val="nil"/>
        </w:pBdr>
        <w:autoSpaceDE w:val="0"/>
        <w:autoSpaceDN w:val="0"/>
        <w:adjustRightInd w:val="0"/>
        <w:spacing w:after="0" w:line="360" w:lineRule="auto"/>
        <w:ind w:left="567" w:right="616"/>
        <w:contextualSpacing/>
        <w:jc w:val="both"/>
        <w:rPr>
          <w:rFonts w:ascii="Palatino Linotype" w:eastAsia="Arial Unicode MS" w:hAnsi="Palatino Linotype" w:cs="Bookman Old Style"/>
          <w:i/>
          <w:bdr w:val="nil"/>
        </w:rPr>
      </w:pPr>
      <w:r w:rsidRPr="00050164">
        <w:rPr>
          <w:rFonts w:ascii="Palatino Linotype" w:eastAsia="Arial Unicode MS" w:hAnsi="Palatino Linotype" w:cs="Bookman Old Style"/>
          <w:i/>
          <w:bdr w:val="ni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B0801" w:rsidRPr="0036337A" w:rsidRDefault="006B0801" w:rsidP="006B0801">
      <w:pPr>
        <w:pBdr>
          <w:top w:val="nil"/>
          <w:left w:val="nil"/>
          <w:bottom w:val="nil"/>
          <w:right w:val="nil"/>
          <w:between w:val="nil"/>
          <w:bar w:val="nil"/>
        </w:pBdr>
        <w:autoSpaceDE w:val="0"/>
        <w:autoSpaceDN w:val="0"/>
        <w:adjustRightInd w:val="0"/>
        <w:spacing w:after="0" w:line="360" w:lineRule="auto"/>
        <w:ind w:left="567" w:right="616"/>
        <w:contextualSpacing/>
        <w:jc w:val="both"/>
        <w:rPr>
          <w:rFonts w:ascii="Palatino Linotype" w:eastAsia="Arial Unicode MS" w:hAnsi="Palatino Linotype" w:cs="Bookman Old Style"/>
          <w:i/>
          <w:sz w:val="24"/>
          <w:szCs w:val="24"/>
          <w:bdr w:val="nil"/>
          <w:lang w:val="es-ES"/>
        </w:rPr>
      </w:pPr>
    </w:p>
    <w:p w:rsidR="00663A4B" w:rsidRPr="00663A4B" w:rsidRDefault="00663A4B" w:rsidP="00663A4B">
      <w:pPr>
        <w:numPr>
          <w:ilvl w:val="0"/>
          <w:numId w:val="27"/>
        </w:numPr>
        <w:pBdr>
          <w:top w:val="nil"/>
          <w:left w:val="nil"/>
          <w:bottom w:val="nil"/>
          <w:right w:val="nil"/>
          <w:between w:val="nil"/>
          <w:bar w:val="nil"/>
        </w:pBdr>
        <w:autoSpaceDE w:val="0"/>
        <w:autoSpaceDN w:val="0"/>
        <w:adjustRightInd w:val="0"/>
        <w:spacing w:after="0" w:line="360" w:lineRule="auto"/>
        <w:ind w:left="0" w:right="50" w:firstLine="0"/>
        <w:contextualSpacing/>
        <w:jc w:val="both"/>
        <w:rPr>
          <w:rFonts w:ascii="Palatino Linotype" w:eastAsia="Arial Unicode MS" w:hAnsi="Palatino Linotype" w:cs="Bookman Old Style"/>
          <w:i/>
          <w:sz w:val="24"/>
          <w:szCs w:val="24"/>
          <w:bdr w:val="nil"/>
          <w:lang w:val="es-ES"/>
        </w:rPr>
      </w:pPr>
      <w:r w:rsidRPr="00663A4B">
        <w:rPr>
          <w:rFonts w:ascii="Palatino Linotype" w:eastAsia="Calibri" w:hAnsi="Palatino Linotype" w:cs="Arial"/>
          <w:sz w:val="24"/>
          <w:szCs w:val="24"/>
          <w:bdr w:val="nil"/>
          <w:lang w:val="es-ES" w:eastAsia="es-MX"/>
        </w:rPr>
        <w:lastRenderedPageBreak/>
        <w:t>De los preceptos legales citados, se ent</w:t>
      </w:r>
      <w:r w:rsidR="006B0801">
        <w:rPr>
          <w:rFonts w:ascii="Palatino Linotype" w:eastAsia="Calibri" w:hAnsi="Palatino Linotype" w:cs="Arial"/>
          <w:sz w:val="24"/>
          <w:szCs w:val="24"/>
          <w:bdr w:val="nil"/>
          <w:lang w:val="es-ES" w:eastAsia="es-MX"/>
        </w:rPr>
        <w:t xml:space="preserve">iende que es deber de la </w:t>
      </w:r>
      <w:r w:rsidR="006B0801">
        <w:rPr>
          <w:rFonts w:ascii="Palatino Linotype" w:eastAsia="Calibri" w:hAnsi="Palatino Linotype" w:cs="Arial"/>
          <w:b/>
          <w:sz w:val="24"/>
          <w:szCs w:val="24"/>
          <w:bdr w:val="nil"/>
          <w:lang w:val="es-ES" w:eastAsia="es-MX"/>
        </w:rPr>
        <w:t xml:space="preserve">Secretaría de Finanzas </w:t>
      </w:r>
      <w:r w:rsidRPr="00663A4B">
        <w:rPr>
          <w:rFonts w:ascii="Palatino Linotype" w:eastAsia="Calibri" w:hAnsi="Palatino Linotype" w:cs="Arial"/>
          <w:sz w:val="24"/>
          <w:szCs w:val="24"/>
          <w:bdr w:val="nil"/>
          <w:lang w:val="es-ES" w:eastAsia="es-MX"/>
        </w:rPr>
        <w:t xml:space="preserve">documentar toda la información que se genere derivado de sus facultades, atribuciones y competencias, </w:t>
      </w:r>
      <w:r w:rsidR="00CB1C23">
        <w:rPr>
          <w:rFonts w:ascii="Palatino Linotype" w:eastAsia="Calibri" w:hAnsi="Palatino Linotype" w:cs="Arial"/>
          <w:sz w:val="24"/>
          <w:szCs w:val="24"/>
          <w:bdr w:val="nil"/>
          <w:lang w:val="es-ES" w:eastAsia="es-MX"/>
        </w:rPr>
        <w:t>por lo que en este caso en particular</w:t>
      </w:r>
      <w:r w:rsidRPr="00663A4B">
        <w:rPr>
          <w:rFonts w:ascii="Palatino Linotype" w:eastAsia="Calibri" w:hAnsi="Palatino Linotype" w:cs="Arial"/>
          <w:sz w:val="24"/>
          <w:szCs w:val="24"/>
          <w:bdr w:val="nil"/>
          <w:lang w:val="es-ES" w:eastAsia="es-MX"/>
        </w:rPr>
        <w:t>, se presume q</w:t>
      </w:r>
      <w:r w:rsidR="00CB1C23">
        <w:rPr>
          <w:rFonts w:ascii="Palatino Linotype" w:eastAsia="Calibri" w:hAnsi="Palatino Linotype" w:cs="Arial"/>
          <w:sz w:val="24"/>
          <w:szCs w:val="24"/>
          <w:bdr w:val="nil"/>
          <w:lang w:val="es-ES" w:eastAsia="es-MX"/>
        </w:rPr>
        <w:t xml:space="preserve">ue la información debe existir </w:t>
      </w:r>
      <w:r w:rsidR="001F2B15">
        <w:rPr>
          <w:rFonts w:ascii="Palatino Linotype" w:eastAsia="Calibri" w:hAnsi="Palatino Linotype" w:cs="Arial"/>
          <w:sz w:val="24"/>
          <w:szCs w:val="24"/>
          <w:bdr w:val="nil"/>
          <w:lang w:val="es-ES" w:eastAsia="es-MX"/>
        </w:rPr>
        <w:t>y por ende susceptible de ser entregada a los particulares en ejercicio del derecho de acceso a la información pública.</w:t>
      </w:r>
    </w:p>
    <w:p w:rsidR="009F2B4A" w:rsidRPr="009F2B4A" w:rsidRDefault="009F2B4A" w:rsidP="00C16BE5">
      <w:pPr>
        <w:spacing w:before="240" w:after="240" w:line="360" w:lineRule="auto"/>
        <w:ind w:right="333"/>
        <w:contextualSpacing/>
        <w:jc w:val="both"/>
        <w:rPr>
          <w:rFonts w:ascii="Palatino Linotype" w:eastAsia="Times New Roman" w:hAnsi="Palatino Linotype" w:cs="Arial"/>
          <w:sz w:val="24"/>
          <w:szCs w:val="24"/>
        </w:rPr>
      </w:pPr>
    </w:p>
    <w:p w:rsidR="003F3341" w:rsidRPr="006E5108" w:rsidRDefault="006E5108" w:rsidP="008C01BB">
      <w:pPr>
        <w:keepNext/>
        <w:keepLines/>
        <w:spacing w:before="40" w:after="0" w:line="360" w:lineRule="auto"/>
        <w:outlineLvl w:val="1"/>
        <w:rPr>
          <w:rFonts w:ascii="Palatino Linotype" w:eastAsiaTheme="majorEastAsia" w:hAnsi="Palatino Linotype" w:cstheme="majorBidi"/>
          <w:b/>
          <w:color w:val="000000" w:themeColor="text1"/>
          <w:sz w:val="24"/>
          <w:szCs w:val="24"/>
        </w:rPr>
      </w:pPr>
      <w:bookmarkStart w:id="2" w:name="_Toc469919070"/>
      <w:bookmarkStart w:id="3" w:name="_Toc524960004"/>
      <w:r>
        <w:rPr>
          <w:rFonts w:ascii="Palatino Linotype" w:eastAsiaTheme="majorEastAsia" w:hAnsi="Palatino Linotype" w:cstheme="majorBidi"/>
          <w:b/>
          <w:color w:val="000000" w:themeColor="text1"/>
          <w:sz w:val="24"/>
          <w:szCs w:val="24"/>
        </w:rPr>
        <w:t>III. D</w:t>
      </w:r>
      <w:r w:rsidR="003F3341" w:rsidRPr="006E5108">
        <w:rPr>
          <w:rFonts w:ascii="Palatino Linotype" w:eastAsiaTheme="majorEastAsia" w:hAnsi="Palatino Linotype" w:cstheme="majorBidi"/>
          <w:b/>
          <w:color w:val="000000" w:themeColor="text1"/>
          <w:sz w:val="24"/>
          <w:szCs w:val="24"/>
        </w:rPr>
        <w:t xml:space="preserve">el Derecho de </w:t>
      </w:r>
      <w:r>
        <w:rPr>
          <w:rFonts w:ascii="Palatino Linotype" w:eastAsiaTheme="majorEastAsia" w:hAnsi="Palatino Linotype" w:cstheme="majorBidi"/>
          <w:b/>
          <w:color w:val="000000" w:themeColor="text1"/>
          <w:sz w:val="24"/>
          <w:szCs w:val="24"/>
        </w:rPr>
        <w:t>a</w:t>
      </w:r>
      <w:r w:rsidR="003F3341" w:rsidRPr="006E5108">
        <w:rPr>
          <w:rFonts w:ascii="Palatino Linotype" w:eastAsiaTheme="majorEastAsia" w:hAnsi="Palatino Linotype" w:cstheme="majorBidi"/>
          <w:b/>
          <w:color w:val="000000" w:themeColor="text1"/>
          <w:sz w:val="24"/>
          <w:szCs w:val="24"/>
        </w:rPr>
        <w:t xml:space="preserve">cceso a la información pública </w:t>
      </w:r>
      <w:bookmarkEnd w:id="2"/>
      <w:r>
        <w:rPr>
          <w:rFonts w:ascii="Palatino Linotype" w:eastAsiaTheme="majorEastAsia" w:hAnsi="Palatino Linotype" w:cstheme="majorBidi"/>
          <w:b/>
          <w:color w:val="000000" w:themeColor="text1"/>
          <w:sz w:val="24"/>
          <w:szCs w:val="24"/>
        </w:rPr>
        <w:t>como forma de rendición de cuentas.</w:t>
      </w:r>
      <w:bookmarkEnd w:id="3"/>
      <w:r>
        <w:rPr>
          <w:rFonts w:ascii="Palatino Linotype" w:eastAsiaTheme="majorEastAsia" w:hAnsi="Palatino Linotype" w:cstheme="majorBidi"/>
          <w:b/>
          <w:color w:val="000000" w:themeColor="text1"/>
          <w:sz w:val="24"/>
          <w:szCs w:val="24"/>
        </w:rPr>
        <w:t xml:space="preserve"> </w:t>
      </w:r>
    </w:p>
    <w:p w:rsidR="003F3341" w:rsidRPr="006E5108" w:rsidRDefault="003F3341" w:rsidP="008C01BB">
      <w:pPr>
        <w:spacing w:line="360" w:lineRule="auto"/>
        <w:contextualSpacing/>
        <w:jc w:val="both"/>
        <w:rPr>
          <w:rFonts w:ascii="Palatino Linotype" w:hAnsi="Palatino Linotype" w:cs="Arial"/>
          <w:sz w:val="24"/>
          <w:szCs w:val="24"/>
        </w:rPr>
      </w:pPr>
    </w:p>
    <w:p w:rsidR="003F3341" w:rsidRPr="006E5108" w:rsidRDefault="0036337A" w:rsidP="008C01BB">
      <w:pPr>
        <w:numPr>
          <w:ilvl w:val="0"/>
          <w:numId w:val="27"/>
        </w:numPr>
        <w:spacing w:after="0" w:line="360" w:lineRule="auto"/>
        <w:ind w:left="0" w:firstLine="0"/>
        <w:contextualSpacing/>
        <w:jc w:val="both"/>
        <w:rPr>
          <w:rFonts w:ascii="Palatino Linotype" w:hAnsi="Palatino Linotype" w:cs="Arial"/>
          <w:sz w:val="24"/>
          <w:szCs w:val="24"/>
        </w:rPr>
      </w:pPr>
      <w:r>
        <w:rPr>
          <w:rFonts w:ascii="Palatino Linotype" w:eastAsia="Times New Roman" w:hAnsi="Palatino Linotype" w:cs="Arial"/>
          <w:sz w:val="24"/>
          <w:szCs w:val="24"/>
        </w:rPr>
        <w:t>Por otra parte r</w:t>
      </w:r>
      <w:r w:rsidR="003F3341" w:rsidRPr="006E5108">
        <w:rPr>
          <w:rFonts w:ascii="Palatino Linotype" w:eastAsia="Times New Roman" w:hAnsi="Palatino Linotype" w:cs="Arial"/>
          <w:sz w:val="24"/>
          <w:szCs w:val="24"/>
        </w:rPr>
        <w:t xml:space="preserve">esulta necesario establecer que el derecho de acceso a la información pública es un derecho fundamental reconocido a todas las personas en el artículo 6 de la </w:t>
      </w:r>
      <w:r w:rsidR="003F3341" w:rsidRPr="006E5108">
        <w:rPr>
          <w:rFonts w:ascii="Palatino Linotype" w:eastAsia="Times New Roman" w:hAnsi="Palatino Linotype" w:cs="Arial"/>
          <w:b/>
          <w:sz w:val="24"/>
          <w:szCs w:val="24"/>
        </w:rPr>
        <w:t>Constitución Política de los Estados Unidos Mexicanos</w:t>
      </w:r>
      <w:r w:rsidR="003F3341" w:rsidRPr="006E5108">
        <w:rPr>
          <w:rFonts w:ascii="Palatino Linotype" w:eastAsia="Times New Roman" w:hAnsi="Palatino Linotype" w:cs="Arial"/>
          <w:sz w:val="24"/>
          <w:szCs w:val="24"/>
        </w:rPr>
        <w:t xml:space="preserve">, 13 párrafos 1 y 2 del </w:t>
      </w:r>
      <w:r w:rsidR="003F3341" w:rsidRPr="006E5108">
        <w:rPr>
          <w:rFonts w:ascii="Palatino Linotype" w:eastAsia="Times New Roman" w:hAnsi="Palatino Linotype" w:cs="Arial"/>
          <w:b/>
          <w:sz w:val="24"/>
          <w:szCs w:val="24"/>
        </w:rPr>
        <w:t>Pacto de San José de Costa Rica</w:t>
      </w:r>
      <w:r w:rsidR="003F3341" w:rsidRPr="006E5108">
        <w:rPr>
          <w:rFonts w:ascii="Palatino Linotype" w:eastAsia="Times New Roman" w:hAnsi="Palatino Linotype" w:cs="Arial"/>
          <w:sz w:val="24"/>
          <w:szCs w:val="24"/>
        </w:rPr>
        <w:t xml:space="preserve">, </w:t>
      </w:r>
      <w:r w:rsidR="003F3341" w:rsidRPr="006E5108">
        <w:rPr>
          <w:rFonts w:ascii="Palatino Linotype" w:hAnsi="Palatino Linotype" w:cs="Arial"/>
          <w:sz w:val="24"/>
          <w:szCs w:val="24"/>
        </w:rPr>
        <w:t xml:space="preserve">11, 12, 13 de la </w:t>
      </w:r>
      <w:r w:rsidR="003F3341" w:rsidRPr="006E5108">
        <w:rPr>
          <w:rFonts w:ascii="Palatino Linotype" w:hAnsi="Palatino Linotype"/>
          <w:b/>
          <w:sz w:val="24"/>
          <w:szCs w:val="24"/>
        </w:rPr>
        <w:t>Ley General de Transparencia y Acceso a la Información Pública</w:t>
      </w:r>
      <w:r w:rsidR="003F3341" w:rsidRPr="006E5108">
        <w:rPr>
          <w:rFonts w:ascii="Palatino Linotype" w:eastAsia="Times New Roman" w:hAnsi="Palatino Linotype" w:cs="Arial"/>
          <w:sz w:val="24"/>
          <w:szCs w:val="24"/>
        </w:rPr>
        <w:t xml:space="preserve"> y 5 de la </w:t>
      </w:r>
      <w:r w:rsidR="003F3341" w:rsidRPr="006E5108">
        <w:rPr>
          <w:rFonts w:ascii="Palatino Linotype" w:eastAsia="Times New Roman" w:hAnsi="Palatino Linotype" w:cs="Arial"/>
          <w:b/>
          <w:sz w:val="24"/>
          <w:szCs w:val="24"/>
        </w:rPr>
        <w:t>Constitución Política del Estado Libre y Soberano de México</w:t>
      </w:r>
      <w:r w:rsidR="003F3341" w:rsidRPr="006E5108">
        <w:rPr>
          <w:rFonts w:ascii="Palatino Linotype" w:eastAsia="Times New Roman" w:hAnsi="Palatino Linotype" w:cs="Arial"/>
          <w:sz w:val="24"/>
          <w:szCs w:val="24"/>
        </w:rPr>
        <w:t>; y</w:t>
      </w:r>
      <w:r w:rsidR="003F3341" w:rsidRPr="006E5108">
        <w:rPr>
          <w:rFonts w:ascii="Palatino Linotype" w:eastAsia="Times New Roman" w:hAnsi="Palatino Linotype" w:cs="Arial"/>
          <w:b/>
          <w:sz w:val="24"/>
          <w:szCs w:val="24"/>
        </w:rPr>
        <w:t xml:space="preserve">, </w:t>
      </w:r>
      <w:r w:rsidR="003F3341" w:rsidRPr="006E5108">
        <w:rPr>
          <w:rFonts w:ascii="Palatino Linotype" w:eastAsia="Times New Roman" w:hAnsi="Palatino Linotype" w:cs="Arial"/>
          <w:sz w:val="24"/>
          <w:szCs w:val="24"/>
        </w:rPr>
        <w:t xml:space="preserve">razón por la cual todos los órganos del </w:t>
      </w:r>
      <w:r w:rsidR="003F3341" w:rsidRPr="006E5108">
        <w:rPr>
          <w:rFonts w:ascii="Palatino Linotype" w:eastAsia="Times New Roman" w:hAnsi="Palatino Linotype" w:cs="Arial"/>
          <w:b/>
          <w:sz w:val="24"/>
          <w:szCs w:val="24"/>
        </w:rPr>
        <w:t>Estado</w:t>
      </w:r>
      <w:r w:rsidR="003F3341" w:rsidRPr="006E5108">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3F3341" w:rsidRPr="006E5108" w:rsidRDefault="003F3341" w:rsidP="008C01BB">
      <w:pPr>
        <w:spacing w:after="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cs="Arial"/>
          <w:bCs/>
          <w:color w:val="000000" w:themeColor="text1"/>
          <w:sz w:val="24"/>
          <w:szCs w:val="24"/>
        </w:rPr>
        <w:t>En efecto, el derecho fundamental de acceso a la información pública se desarrolla en varias vertientes:</w:t>
      </w:r>
    </w:p>
    <w:p w:rsidR="003F3341" w:rsidRPr="006E5108" w:rsidRDefault="003F3341" w:rsidP="008C01BB">
      <w:pPr>
        <w:spacing w:before="240" w:after="240" w:line="360" w:lineRule="auto"/>
        <w:ind w:left="851"/>
        <w:contextualSpacing/>
        <w:jc w:val="both"/>
        <w:rPr>
          <w:rFonts w:ascii="Palatino Linotype" w:hAnsi="Palatino Linotype" w:cs="Arial"/>
          <w:sz w:val="24"/>
          <w:szCs w:val="24"/>
        </w:rPr>
      </w:pP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EB223E" w:rsidRPr="00C51E95" w:rsidRDefault="003F3341" w:rsidP="00EB223E">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8B3787" w:rsidRPr="00C51E95" w:rsidRDefault="003F3341" w:rsidP="008B3787">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1F2B15" w:rsidRPr="00C51E95" w:rsidRDefault="003F3341" w:rsidP="001F2B15">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3F3341" w:rsidRPr="006E5108" w:rsidRDefault="003F3341" w:rsidP="008C01BB">
      <w:pPr>
        <w:numPr>
          <w:ilvl w:val="0"/>
          <w:numId w:val="29"/>
        </w:numPr>
        <w:autoSpaceDE w:val="0"/>
        <w:autoSpaceDN w:val="0"/>
        <w:adjustRightInd w:val="0"/>
        <w:spacing w:before="240" w:after="240" w:line="360" w:lineRule="auto"/>
        <w:ind w:left="567" w:right="616" w:firstLine="0"/>
        <w:contextualSpacing/>
        <w:jc w:val="both"/>
        <w:rPr>
          <w:rFonts w:ascii="Palatino Linotype" w:hAnsi="Palatino Linotype" w:cs="Arial"/>
          <w:bCs/>
          <w:color w:val="000000" w:themeColor="text1"/>
          <w:sz w:val="24"/>
          <w:szCs w:val="24"/>
        </w:rPr>
      </w:pPr>
      <w:r w:rsidRPr="006E5108">
        <w:rPr>
          <w:rFonts w:ascii="Palatino Linotype" w:hAnsi="Palatino Linotype" w:cs="Arial"/>
          <w:bCs/>
          <w:color w:val="000000" w:themeColor="text1"/>
          <w:sz w:val="24"/>
          <w:szCs w:val="24"/>
        </w:rPr>
        <w:t>Impone el</w:t>
      </w:r>
      <w:r w:rsidRPr="006E5108">
        <w:rPr>
          <w:rFonts w:ascii="Palatino Linotype" w:hAnsi="Palatino Linotype"/>
          <w:bCs/>
          <w:color w:val="000000" w:themeColor="text1"/>
          <w:sz w:val="24"/>
          <w:szCs w:val="24"/>
        </w:rPr>
        <w:t xml:space="preserve"> </w:t>
      </w:r>
      <w:hyperlink r:id="rId18" w:tooltip="Derechos civiles y políticos" w:history="1">
        <w:r w:rsidRPr="006E5108">
          <w:rPr>
            <w:rFonts w:ascii="Palatino Linotype" w:hAnsi="Palatino Linotype"/>
            <w:bCs/>
            <w:color w:val="000000" w:themeColor="text1"/>
            <w:sz w:val="24"/>
            <w:szCs w:val="24"/>
          </w:rPr>
          <w:t>derecho</w:t>
        </w:r>
      </w:hyperlink>
      <w:r w:rsidRPr="006E5108">
        <w:rPr>
          <w:rFonts w:ascii="Palatino Linotype" w:hAnsi="Palatino Linotype"/>
          <w:bCs/>
          <w:color w:val="000000" w:themeColor="text1"/>
          <w:sz w:val="24"/>
          <w:szCs w:val="24"/>
        </w:rPr>
        <w:t xml:space="preserve"> </w:t>
      </w:r>
      <w:r w:rsidRPr="006E5108">
        <w:rPr>
          <w:rFonts w:ascii="Palatino Linotype" w:hAnsi="Palatino Linotype" w:cs="Arial"/>
          <w:bCs/>
          <w:color w:val="000000" w:themeColor="text1"/>
          <w:sz w:val="24"/>
          <w:szCs w:val="24"/>
        </w:rPr>
        <w:t xml:space="preserve">de una persona de buscar, </w:t>
      </w:r>
      <w:r w:rsidRPr="006E5108">
        <w:rPr>
          <w:rFonts w:ascii="Palatino Linotype" w:hAnsi="Palatino Linotype" w:cs="Arial"/>
          <w:b/>
          <w:bCs/>
          <w:color w:val="000000" w:themeColor="text1"/>
          <w:sz w:val="24"/>
          <w:szCs w:val="24"/>
          <w:u w:val="single"/>
        </w:rPr>
        <w:t xml:space="preserve">recibir </w:t>
      </w:r>
      <w:r w:rsidRPr="006E5108">
        <w:rPr>
          <w:rFonts w:ascii="Palatino Linotype" w:hAnsi="Palatino Linotype" w:cs="Arial"/>
          <w:bCs/>
          <w:color w:val="000000" w:themeColor="text1"/>
          <w:sz w:val="24"/>
          <w:szCs w:val="24"/>
        </w:rPr>
        <w:t>y difundir información en poder del gobierno u administraciones públicas.</w:t>
      </w:r>
    </w:p>
    <w:p w:rsidR="003F3341" w:rsidRPr="006E5108" w:rsidRDefault="003F3341" w:rsidP="008C01BB">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cs="Arial"/>
          <w:sz w:val="24"/>
          <w:szCs w:val="24"/>
        </w:rPr>
        <w:lastRenderedPageBreak/>
        <w:t xml:space="preserve">Por tanto, para que los </w:t>
      </w:r>
      <w:r w:rsidRPr="006E5108">
        <w:rPr>
          <w:rFonts w:ascii="Palatino Linotype" w:hAnsi="Palatino Linotype" w:cs="Arial"/>
          <w:b/>
          <w:sz w:val="24"/>
          <w:szCs w:val="24"/>
        </w:rPr>
        <w:t>SUJETOS OBLIGADOS</w:t>
      </w:r>
      <w:r w:rsidRPr="006E5108">
        <w:rPr>
          <w:rFonts w:ascii="Palatino Linotype" w:hAnsi="Palatino Linotype" w:cs="Arial"/>
          <w:sz w:val="24"/>
          <w:szCs w:val="24"/>
        </w:rPr>
        <w:t xml:space="preserve"> hagan efectivo el derecho de las personas de </w:t>
      </w:r>
      <w:r w:rsidRPr="006E5108">
        <w:rPr>
          <w:rFonts w:ascii="Palatino Linotype" w:hAnsi="Palatino Linotype" w:cs="Arial"/>
          <w:b/>
          <w:sz w:val="24"/>
          <w:szCs w:val="24"/>
        </w:rPr>
        <w:t>buscar, recibir y difundir información pública</w:t>
      </w:r>
      <w:r w:rsidRPr="006E5108">
        <w:rPr>
          <w:rFonts w:ascii="Palatino Linotype" w:hAnsi="Palatino Linotype" w:cs="Arial"/>
          <w:sz w:val="24"/>
          <w:szCs w:val="24"/>
        </w:rPr>
        <w:t xml:space="preserve">, información que los </w:t>
      </w:r>
      <w:r w:rsidRPr="006E5108">
        <w:rPr>
          <w:rFonts w:ascii="Palatino Linotype" w:hAnsi="Palatino Linotype" w:cs="Arial"/>
          <w:b/>
          <w:sz w:val="24"/>
          <w:szCs w:val="24"/>
        </w:rPr>
        <w:t>SUJETOS OBLIGADOS</w:t>
      </w:r>
      <w:r w:rsidRPr="006E5108">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w:t>
      </w:r>
      <w:r w:rsidR="00EB223E" w:rsidRPr="006E5108">
        <w:rPr>
          <w:rFonts w:ascii="Palatino Linotype" w:hAnsi="Palatino Linotype"/>
          <w:sz w:val="24"/>
          <w:szCs w:val="24"/>
        </w:rPr>
        <w:t>aso, castigar el abuso de poder u actos de corrupción.</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6E5108">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6E5108"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 xml:space="preserve">La Constitución Política de los Estados Unidos Mexicanos, adopta la </w:t>
      </w:r>
      <w:r w:rsidRPr="006E5108">
        <w:rPr>
          <w:rFonts w:ascii="Palatino Linotype" w:hAnsi="Palatino Linotype"/>
          <w:i/>
          <w:sz w:val="24"/>
          <w:szCs w:val="24"/>
        </w:rPr>
        <w:t xml:space="preserve">ratio </w:t>
      </w:r>
      <w:proofErr w:type="spellStart"/>
      <w:r w:rsidRPr="006E5108">
        <w:rPr>
          <w:rFonts w:ascii="Palatino Linotype" w:hAnsi="Palatino Linotype"/>
          <w:i/>
          <w:sz w:val="24"/>
          <w:szCs w:val="24"/>
        </w:rPr>
        <w:t>decidendi</w:t>
      </w:r>
      <w:proofErr w:type="spellEnd"/>
      <w:r w:rsidRPr="006E5108">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3F3341" w:rsidRPr="006E5108" w:rsidRDefault="003F3341" w:rsidP="008C01BB">
      <w:pPr>
        <w:spacing w:before="240" w:after="240" w:line="360" w:lineRule="auto"/>
        <w:contextualSpacing/>
        <w:jc w:val="both"/>
        <w:rPr>
          <w:rFonts w:ascii="Palatino Linotype" w:hAnsi="Palatino Linotype" w:cs="Arial"/>
          <w:sz w:val="24"/>
          <w:szCs w:val="24"/>
        </w:rPr>
      </w:pPr>
    </w:p>
    <w:p w:rsidR="003F3341" w:rsidRPr="003B21E3" w:rsidRDefault="003F3341" w:rsidP="008C01BB">
      <w:pPr>
        <w:numPr>
          <w:ilvl w:val="0"/>
          <w:numId w:val="27"/>
        </w:numPr>
        <w:spacing w:before="240" w:after="240" w:line="360" w:lineRule="auto"/>
        <w:ind w:left="0" w:firstLine="0"/>
        <w:contextualSpacing/>
        <w:jc w:val="both"/>
        <w:rPr>
          <w:rFonts w:ascii="Palatino Linotype" w:hAnsi="Palatino Linotype" w:cs="Arial"/>
          <w:sz w:val="24"/>
          <w:szCs w:val="24"/>
        </w:rPr>
      </w:pPr>
      <w:r w:rsidRPr="006E5108">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3B21E3" w:rsidRPr="006E5108" w:rsidRDefault="003B21E3" w:rsidP="003B21E3">
      <w:pPr>
        <w:spacing w:before="240" w:after="240" w:line="360" w:lineRule="auto"/>
        <w:contextualSpacing/>
        <w:jc w:val="both"/>
        <w:rPr>
          <w:rFonts w:ascii="Palatino Linotype" w:hAnsi="Palatino Linotype" w:cs="Arial"/>
          <w:sz w:val="24"/>
          <w:szCs w:val="24"/>
        </w:rPr>
      </w:pPr>
    </w:p>
    <w:p w:rsidR="003F3341" w:rsidRPr="003B21E3" w:rsidRDefault="003F3341" w:rsidP="004219D8">
      <w:pPr>
        <w:numPr>
          <w:ilvl w:val="0"/>
          <w:numId w:val="27"/>
        </w:numPr>
        <w:spacing w:before="240" w:after="240" w:line="360" w:lineRule="auto"/>
        <w:ind w:left="0" w:firstLine="0"/>
        <w:contextualSpacing/>
        <w:jc w:val="both"/>
        <w:rPr>
          <w:rFonts w:ascii="Palatino Linotype" w:hAnsi="Palatino Linotype" w:cs="Arial"/>
        </w:rPr>
      </w:pPr>
      <w:r w:rsidRPr="003B21E3">
        <w:rPr>
          <w:rFonts w:ascii="Palatino Linotype" w:hAnsi="Palatino Linotype"/>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3F3341" w:rsidRPr="003B21E3" w:rsidRDefault="003F3341" w:rsidP="008C01BB">
      <w:pPr>
        <w:spacing w:after="0" w:line="360" w:lineRule="auto"/>
        <w:contextualSpacing/>
        <w:jc w:val="both"/>
        <w:rPr>
          <w:rFonts w:ascii="Palatino Linotype" w:eastAsia="Calibri" w:hAnsi="Palatino Linotype" w:cs="Arial"/>
        </w:rPr>
      </w:pPr>
    </w:p>
    <w:p w:rsidR="00C257E7" w:rsidRPr="003B21E3" w:rsidRDefault="004219D8" w:rsidP="00C257E7">
      <w:pPr>
        <w:numPr>
          <w:ilvl w:val="0"/>
          <w:numId w:val="27"/>
        </w:numPr>
        <w:spacing w:after="0" w:line="360" w:lineRule="auto"/>
        <w:ind w:left="0" w:firstLine="0"/>
        <w:contextualSpacing/>
        <w:jc w:val="both"/>
        <w:rPr>
          <w:rFonts w:ascii="Palatino Linotype" w:eastAsia="Calibri" w:hAnsi="Palatino Linotype" w:cs="Arial"/>
          <w:lang w:val="es-ES_tradnl"/>
        </w:rPr>
      </w:pPr>
      <w:r w:rsidRPr="003B21E3">
        <w:rPr>
          <w:rFonts w:ascii="Palatino Linotype" w:eastAsia="Calibri" w:hAnsi="Palatino Linotype" w:cs="Arial"/>
        </w:rPr>
        <w:t xml:space="preserve">Así se puede apreciar que </w:t>
      </w:r>
      <w:r w:rsidR="003F3341" w:rsidRPr="003B21E3">
        <w:rPr>
          <w:rFonts w:ascii="Palatino Linotype" w:eastAsia="Calibri" w:hAnsi="Palatino Linotype" w:cs="Arial"/>
        </w:rPr>
        <w:t>el Sujeto Obligado</w:t>
      </w:r>
      <w:r w:rsidRPr="003B21E3">
        <w:rPr>
          <w:rFonts w:ascii="Palatino Linotype" w:eastAsia="Calibri" w:hAnsi="Palatino Linotype" w:cs="Arial"/>
        </w:rPr>
        <w:t>, no fue lo suficientemente diligente al dar respuesta a la solicitud de información, en efecto, como se ha señalado el derecho fundamental de acceso a la información pública trae consigo la participación de la sociedad en la vida pública, y con ello la rendición de cuentas, por lo que en todo momento es menester de los Sujetos Obligados, poner a disposición de la infracción de naturaleza pública</w:t>
      </w:r>
      <w:r w:rsidR="007C3EB0" w:rsidRPr="003B21E3">
        <w:rPr>
          <w:rFonts w:ascii="Palatino Linotype" w:eastAsia="Calibri" w:hAnsi="Palatino Linotype" w:cs="Arial"/>
        </w:rPr>
        <w:t>.</w:t>
      </w:r>
      <w:r w:rsidRPr="003B21E3">
        <w:rPr>
          <w:rFonts w:ascii="Palatino Linotype" w:eastAsia="Calibri" w:hAnsi="Palatino Linotype" w:cs="Arial"/>
        </w:rPr>
        <w:t xml:space="preserve"> </w:t>
      </w:r>
    </w:p>
    <w:p w:rsidR="00C257E7" w:rsidRPr="003B21E3" w:rsidRDefault="00C257E7" w:rsidP="00C257E7">
      <w:pPr>
        <w:pStyle w:val="Prrafodelista"/>
        <w:rPr>
          <w:rFonts w:ascii="Palatino Linotype" w:eastAsia="Calibri" w:hAnsi="Palatino Linotype" w:cs="Arial"/>
          <w:lang w:val="es-ES_tradnl"/>
        </w:rPr>
      </w:pPr>
    </w:p>
    <w:p w:rsidR="00524ACC" w:rsidRPr="003B21E3" w:rsidRDefault="003F3341" w:rsidP="00524ACC">
      <w:pPr>
        <w:numPr>
          <w:ilvl w:val="0"/>
          <w:numId w:val="27"/>
        </w:numPr>
        <w:spacing w:after="0" w:line="360" w:lineRule="auto"/>
        <w:ind w:left="0" w:firstLine="0"/>
        <w:contextualSpacing/>
        <w:jc w:val="both"/>
        <w:rPr>
          <w:rFonts w:ascii="Palatino Linotype" w:eastAsia="Calibri" w:hAnsi="Palatino Linotype" w:cs="Arial"/>
          <w:lang w:val="es-ES_tradnl"/>
        </w:rPr>
      </w:pPr>
      <w:r w:rsidRPr="003B21E3">
        <w:rPr>
          <w:rFonts w:ascii="Palatino Linotype" w:eastAsia="Calibri" w:hAnsi="Palatino Linotype" w:cs="Arial"/>
          <w:lang w:val="es-ES_tradnl"/>
        </w:rPr>
        <w:t>En este context</w:t>
      </w:r>
      <w:r w:rsidR="00C257E7" w:rsidRPr="003B21E3">
        <w:rPr>
          <w:rFonts w:ascii="Palatino Linotype" w:eastAsia="Calibri" w:hAnsi="Palatino Linotype" w:cs="Arial"/>
          <w:lang w:val="es-ES_tradnl"/>
        </w:rPr>
        <w:t>o, las autoridades en ejercicio de sus funciones,</w:t>
      </w:r>
      <w:r w:rsidR="00524ACC" w:rsidRPr="003B21E3">
        <w:rPr>
          <w:rFonts w:ascii="Palatino Linotype" w:hAnsi="Palatino Linotype"/>
        </w:rPr>
        <w:t xml:space="preserve"> tienen el deber ineludible de promover </w:t>
      </w:r>
      <w:r w:rsidR="00524ACC" w:rsidRPr="003B21E3">
        <w:rPr>
          <w:rFonts w:ascii="Palatino Linotype" w:eastAsia="Calibri" w:hAnsi="Palatino Linotype" w:cs="Arial"/>
          <w:lang w:val="es-ES_tradnl"/>
        </w:rPr>
        <w:t xml:space="preserve">de conformidad con lo que establece la normatividad nacional </w:t>
      </w:r>
      <w:r w:rsidR="006E5108" w:rsidRPr="003B21E3">
        <w:rPr>
          <w:rFonts w:ascii="Palatino Linotype" w:eastAsia="Calibri" w:hAnsi="Palatino Linotype" w:cs="Arial"/>
          <w:lang w:val="es-ES_tradnl"/>
        </w:rPr>
        <w:t xml:space="preserve">e internacional, </w:t>
      </w:r>
      <w:r w:rsidR="00524ACC" w:rsidRPr="003B21E3">
        <w:rPr>
          <w:rFonts w:ascii="Palatino Linotype" w:eastAsia="Calibri" w:hAnsi="Palatino Linotype" w:cs="Arial"/>
          <w:lang w:val="es-ES_tradnl"/>
        </w:rPr>
        <w:t xml:space="preserve">el combate a la corrupción, </w:t>
      </w:r>
      <w:r w:rsidR="006E5108" w:rsidRPr="003B21E3">
        <w:rPr>
          <w:rFonts w:ascii="Palatino Linotype" w:eastAsia="Calibri" w:hAnsi="Palatino Linotype" w:cs="Arial"/>
          <w:lang w:val="es-ES_tradnl"/>
        </w:rPr>
        <w:t xml:space="preserve">por lo que con  la entrega de información incompleta, no solo transgrede el derecho fundamental de acceso a la información pública, sino que no se propicia la rendición de cuentas y el combate a la corrupción. </w:t>
      </w:r>
    </w:p>
    <w:p w:rsidR="007C3EB0" w:rsidRDefault="007C3EB0" w:rsidP="007C3EB0">
      <w:pPr>
        <w:spacing w:after="0" w:line="360" w:lineRule="auto"/>
        <w:contextualSpacing/>
        <w:jc w:val="both"/>
        <w:rPr>
          <w:rFonts w:ascii="Palatino Linotype" w:eastAsia="Calibri" w:hAnsi="Palatino Linotype" w:cs="Arial"/>
          <w:lang w:val="es-ES_tradnl"/>
        </w:rPr>
      </w:pPr>
    </w:p>
    <w:p w:rsidR="003F3341" w:rsidRPr="003B21E3" w:rsidRDefault="003F3341" w:rsidP="003B21E3">
      <w:pPr>
        <w:tabs>
          <w:tab w:val="center" w:pos="4419"/>
          <w:tab w:val="right" w:pos="8838"/>
        </w:tabs>
        <w:spacing w:line="240" w:lineRule="auto"/>
        <w:jc w:val="center"/>
        <w:rPr>
          <w:rFonts w:ascii="Palatino Linotype" w:eastAsia="Arial" w:hAnsi="Palatino Linotype" w:cs="Arial"/>
          <w:b/>
          <w:color w:val="000000" w:themeColor="text1"/>
          <w:lang w:eastAsia="es-MX"/>
        </w:rPr>
      </w:pPr>
      <w:r w:rsidRPr="003B21E3">
        <w:rPr>
          <w:rFonts w:ascii="Palatino Linotype" w:eastAsia="Arial" w:hAnsi="Palatino Linotype" w:cs="Arial"/>
          <w:b/>
          <w:color w:val="000000" w:themeColor="text1"/>
          <w:lang w:eastAsia="es-MX"/>
        </w:rPr>
        <w:t>JOSÉ GUADALUPE LUNA HERNÁNDEZ</w:t>
      </w:r>
    </w:p>
    <w:p w:rsidR="00C51E95" w:rsidRPr="003B21E3" w:rsidRDefault="003F3341" w:rsidP="003B21E3">
      <w:pPr>
        <w:spacing w:line="240" w:lineRule="auto"/>
        <w:jc w:val="center"/>
        <w:rPr>
          <w:rFonts w:ascii="Palatino Linotype" w:eastAsia="Arial" w:hAnsi="Palatino Linotype" w:cs="Arial"/>
          <w:b/>
          <w:color w:val="000000" w:themeColor="text1"/>
          <w:lang w:eastAsia="es-MX"/>
        </w:rPr>
      </w:pPr>
      <w:r w:rsidRPr="003B21E3">
        <w:rPr>
          <w:rFonts w:ascii="Palatino Linotype" w:eastAsia="Arial" w:hAnsi="Palatino Linotype" w:cs="Arial"/>
          <w:b/>
          <w:color w:val="000000" w:themeColor="text1"/>
          <w:lang w:eastAsia="es-MX"/>
        </w:rPr>
        <w:t>COMISIONADO</w:t>
      </w:r>
    </w:p>
    <w:p w:rsidR="003B21E3" w:rsidRPr="003B21E3" w:rsidRDefault="003B21E3" w:rsidP="003B21E3">
      <w:pPr>
        <w:spacing w:line="240" w:lineRule="auto"/>
        <w:jc w:val="center"/>
        <w:rPr>
          <w:rFonts w:ascii="Palatino Linotype" w:eastAsia="Arial" w:hAnsi="Palatino Linotype" w:cs="Arial"/>
          <w:b/>
          <w:color w:val="000000" w:themeColor="text1"/>
          <w:lang w:eastAsia="es-MX"/>
        </w:rPr>
      </w:pPr>
    </w:p>
    <w:p w:rsidR="00632F41" w:rsidRPr="003B21E3" w:rsidRDefault="00524ACC" w:rsidP="003B21E3">
      <w:pPr>
        <w:spacing w:line="240" w:lineRule="auto"/>
        <w:rPr>
          <w:rFonts w:ascii="Palatino Linotype" w:hAnsi="Palatino Linotype"/>
          <w:b/>
          <w:color w:val="000000" w:themeColor="text1"/>
        </w:rPr>
      </w:pPr>
      <w:r w:rsidRPr="003B21E3">
        <w:rPr>
          <w:rFonts w:ascii="Palatino Linotype" w:hAnsi="Palatino Linotype"/>
          <w:b/>
          <w:color w:val="000000" w:themeColor="text1"/>
        </w:rPr>
        <w:t>JGL</w:t>
      </w:r>
      <w:bookmarkStart w:id="4" w:name="_GoBack"/>
      <w:bookmarkEnd w:id="4"/>
      <w:r w:rsidRPr="003B21E3">
        <w:rPr>
          <w:rFonts w:ascii="Palatino Linotype" w:hAnsi="Palatino Linotype"/>
          <w:b/>
          <w:color w:val="000000" w:themeColor="text1"/>
        </w:rPr>
        <w:t>H/MPBR</w:t>
      </w:r>
    </w:p>
    <w:sectPr w:rsidR="00632F41" w:rsidRPr="003B21E3" w:rsidSect="004B59C1">
      <w:headerReference w:type="even" r:id="rId19"/>
      <w:headerReference w:type="default" r:id="rId20"/>
      <w:footerReference w:type="even" r:id="rId21"/>
      <w:footerReference w:type="default" r:id="rId22"/>
      <w:headerReference w:type="first" r:id="rId23"/>
      <w:footerReference w:type="first" r:id="rId24"/>
      <w:pgSz w:w="12240" w:h="15840" w:code="1"/>
      <w:pgMar w:top="2269" w:right="1701" w:bottom="297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26" w:rsidRDefault="00445D26" w:rsidP="00DA4297">
      <w:pPr>
        <w:spacing w:after="0" w:line="240" w:lineRule="auto"/>
      </w:pPr>
      <w:r>
        <w:separator/>
      </w:r>
    </w:p>
  </w:endnote>
  <w:endnote w:type="continuationSeparator" w:id="0">
    <w:p w:rsidR="00445D26" w:rsidRDefault="00445D26" w:rsidP="00D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0B" w:rsidRDefault="002675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803400"/>
      <w:docPartObj>
        <w:docPartGallery w:val="Page Numbers (Bottom of Page)"/>
        <w:docPartUnique/>
      </w:docPartObj>
    </w:sdtPr>
    <w:sdtEndPr/>
    <w:sdtContent>
      <w:sdt>
        <w:sdtPr>
          <w:id w:val="-1769616900"/>
          <w:docPartObj>
            <w:docPartGallery w:val="Page Numbers (Top of Page)"/>
            <w:docPartUnique/>
          </w:docPartObj>
        </w:sdtPr>
        <w:sdtEndPr/>
        <w:sdtContent>
          <w:p w:rsidR="00A85E57" w:rsidRDefault="00A85E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1AC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1AC1">
              <w:rPr>
                <w:b/>
                <w:bCs/>
                <w:noProof/>
              </w:rPr>
              <w:t>21</w:t>
            </w:r>
            <w:r>
              <w:rPr>
                <w:b/>
                <w:bCs/>
                <w:sz w:val="24"/>
                <w:szCs w:val="24"/>
              </w:rPr>
              <w:fldChar w:fldCharType="end"/>
            </w:r>
          </w:p>
        </w:sdtContent>
      </w:sdt>
    </w:sdtContent>
  </w:sdt>
  <w:p w:rsidR="00951E8B" w:rsidRDefault="00B71A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0B" w:rsidRDefault="002675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26" w:rsidRDefault="00445D26" w:rsidP="00DA4297">
      <w:pPr>
        <w:spacing w:after="0" w:line="240" w:lineRule="auto"/>
      </w:pPr>
      <w:r>
        <w:separator/>
      </w:r>
    </w:p>
  </w:footnote>
  <w:footnote w:type="continuationSeparator" w:id="0">
    <w:p w:rsidR="00445D26" w:rsidRDefault="00445D26" w:rsidP="00DA4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71A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63547" o:spid="_x0000_s2049" type="#_x0000_t136" style="position:absolute;margin-left:0;margin-top:0;width:557.4pt;height:65.55pt;rotation:315;z-index:-251657216;mso-position-horizontal:center;mso-position-horizontal-relative:margin;mso-position-vertical:center;mso-position-vertical-relative:margin" o:allowincell="f" fillcolor="#747070"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71AC1">
    <w:pPr>
      <w:pStyle w:val="Encabezado"/>
    </w:pPr>
  </w:p>
  <w:p w:rsidR="0050137A" w:rsidRDefault="00B71A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63548" o:spid="_x0000_s2050" type="#_x0000_t136" style="position:absolute;margin-left:0;margin-top:0;width:557.4pt;height:65.55pt;rotation:315;z-index:-251656192;mso-position-horizontal:center;mso-position-horizontal-relative:margin;mso-position-vertical:center;mso-position-vertical-relative:margin" o:allowincell="f" fillcolor="#747070" stroked="f">
          <v:fill opacity=".5"/>
          <v:textpath style="font-family:&quot;Arial&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71A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63546" o:spid="_x0000_s2051" type="#_x0000_t136" style="position:absolute;margin-left:0;margin-top:0;width:557.4pt;height:65.55pt;rotation:315;z-index:-251655168;mso-position-horizontal:center;mso-position-horizontal-relative:margin;mso-position-vertical:center;mso-position-vertical-relative:margin" o:allowincell="f" fillcolor="#747070"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731"/>
    <w:multiLevelType w:val="hybridMultilevel"/>
    <w:tmpl w:val="5D061B00"/>
    <w:lvl w:ilvl="0" w:tplc="101E8D6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04206C9A"/>
    <w:multiLevelType w:val="hybridMultilevel"/>
    <w:tmpl w:val="3640B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39485C"/>
    <w:multiLevelType w:val="hybridMultilevel"/>
    <w:tmpl w:val="8DD481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511F8C"/>
    <w:multiLevelType w:val="hybridMultilevel"/>
    <w:tmpl w:val="D86079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5">
      <w:start w:val="1"/>
      <w:numFmt w:val="upperLetter"/>
      <w:lvlText w:val="%6."/>
      <w:lvlJc w:val="left"/>
      <w:pPr>
        <w:ind w:left="3016"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22082"/>
    <w:multiLevelType w:val="hybridMultilevel"/>
    <w:tmpl w:val="D3C60872"/>
    <w:lvl w:ilvl="0" w:tplc="8E48C92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55E7EA2"/>
    <w:multiLevelType w:val="hybridMultilevel"/>
    <w:tmpl w:val="A58EB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6EA4405"/>
    <w:multiLevelType w:val="hybridMultilevel"/>
    <w:tmpl w:val="3640B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E25EEB"/>
    <w:multiLevelType w:val="hybridMultilevel"/>
    <w:tmpl w:val="4B3A64F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BD56BC4"/>
    <w:multiLevelType w:val="hybridMultilevel"/>
    <w:tmpl w:val="310E4B5A"/>
    <w:lvl w:ilvl="0" w:tplc="080A0013">
      <w:start w:val="1"/>
      <w:numFmt w:val="upperRoman"/>
      <w:lvlText w:val="%1."/>
      <w:lvlJc w:val="righ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1D446998"/>
    <w:multiLevelType w:val="hybridMultilevel"/>
    <w:tmpl w:val="981E5CD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D6112A"/>
    <w:multiLevelType w:val="hybridMultilevel"/>
    <w:tmpl w:val="7B4CB700"/>
    <w:lvl w:ilvl="0" w:tplc="E44272A4">
      <w:start w:val="6"/>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52DC8"/>
    <w:multiLevelType w:val="hybridMultilevel"/>
    <w:tmpl w:val="217E48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FF842FF"/>
    <w:multiLevelType w:val="hybridMultilevel"/>
    <w:tmpl w:val="CE64771E"/>
    <w:lvl w:ilvl="0" w:tplc="486A61C8">
      <w:start w:val="1"/>
      <w:numFmt w:val="decimal"/>
      <w:lvlText w:val="%1."/>
      <w:lvlJc w:val="left"/>
      <w:pPr>
        <w:ind w:left="1353" w:hanging="360"/>
      </w:pPr>
      <w:rPr>
        <w:rFonts w:hint="default"/>
        <w:sz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465904A8"/>
    <w:multiLevelType w:val="hybridMultilevel"/>
    <w:tmpl w:val="AB74F1AC"/>
    <w:lvl w:ilvl="0" w:tplc="5EFE98EE">
      <w:start w:val="1"/>
      <w:numFmt w:val="decimal"/>
      <w:lvlText w:val="%1."/>
      <w:lvlJc w:val="left"/>
      <w:pPr>
        <w:ind w:left="5180" w:hanging="360"/>
      </w:pPr>
      <w:rPr>
        <w:rFonts w:hint="default"/>
        <w:b/>
        <w:i w:val="0"/>
        <w:sz w:val="24"/>
      </w:rPr>
    </w:lvl>
    <w:lvl w:ilvl="1" w:tplc="0C0A0013">
      <w:start w:val="1"/>
      <w:numFmt w:val="upperRoman"/>
      <w:lvlText w:val="%2."/>
      <w:lvlJc w:val="righ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587ADCC6">
      <w:start w:val="1"/>
      <w:numFmt w:val="lowerRoman"/>
      <w:lvlText w:val="%5."/>
      <w:lvlJc w:val="left"/>
      <w:pPr>
        <w:ind w:left="3960" w:hanging="720"/>
      </w:pPr>
      <w:rPr>
        <w:rFonts w:hint="default"/>
      </w:rPr>
    </w:lvl>
    <w:lvl w:ilvl="5" w:tplc="FFBEC412">
      <w:start w:val="1"/>
      <w:numFmt w:val="upperLetter"/>
      <w:lvlText w:val="%6."/>
      <w:lvlJc w:val="left"/>
      <w:pPr>
        <w:ind w:left="4500" w:hanging="360"/>
      </w:pPr>
      <w:rPr>
        <w:rFonts w:asciiTheme="minorHAnsi" w:eastAsiaTheme="minorEastAsia" w:hAnsiTheme="minorHAnsi"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AC5D89"/>
    <w:multiLevelType w:val="hybridMultilevel"/>
    <w:tmpl w:val="76B69520"/>
    <w:lvl w:ilvl="0" w:tplc="8D929960">
      <w:start w:val="1"/>
      <w:numFmt w:val="decimal"/>
      <w:lvlText w:val="%1."/>
      <w:lvlJc w:val="left"/>
      <w:pPr>
        <w:ind w:left="426" w:hanging="360"/>
      </w:pPr>
      <w:rPr>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3">
    <w:nsid w:val="4E346C9F"/>
    <w:multiLevelType w:val="hybridMultilevel"/>
    <w:tmpl w:val="CD12E88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50F9263A"/>
    <w:multiLevelType w:val="hybridMultilevel"/>
    <w:tmpl w:val="4DFAECD0"/>
    <w:lvl w:ilvl="0" w:tplc="47B8C7C0">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58460CD"/>
    <w:multiLevelType w:val="hybridMultilevel"/>
    <w:tmpl w:val="95C2A5A4"/>
    <w:lvl w:ilvl="0" w:tplc="389894D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56C4A"/>
    <w:multiLevelType w:val="hybridMultilevel"/>
    <w:tmpl w:val="47DE87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09877DF"/>
    <w:multiLevelType w:val="hybridMultilevel"/>
    <w:tmpl w:val="E47E4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FC431B"/>
    <w:multiLevelType w:val="hybridMultilevel"/>
    <w:tmpl w:val="5A1E9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94729A1"/>
    <w:multiLevelType w:val="hybridMultilevel"/>
    <w:tmpl w:val="589CB0C4"/>
    <w:lvl w:ilvl="0" w:tplc="080A0013">
      <w:start w:val="1"/>
      <w:numFmt w:val="upperRoman"/>
      <w:lvlText w:val="%1."/>
      <w:lvlJc w:val="righ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nsid w:val="6A50534F"/>
    <w:multiLevelType w:val="hybridMultilevel"/>
    <w:tmpl w:val="98FC6C10"/>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AD301C3"/>
    <w:multiLevelType w:val="hybridMultilevel"/>
    <w:tmpl w:val="A20E7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2A50B5AA"/>
    <w:lvl w:ilvl="0" w:tplc="D3F4EF7C">
      <w:start w:val="1"/>
      <w:numFmt w:val="upperLetter"/>
      <w:lvlText w:val="%1."/>
      <w:lvlJc w:val="left"/>
      <w:pPr>
        <w:ind w:left="92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4B63DDE"/>
    <w:multiLevelType w:val="hybridMultilevel"/>
    <w:tmpl w:val="7B34D92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C180501"/>
    <w:multiLevelType w:val="hybridMultilevel"/>
    <w:tmpl w:val="FF726E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37"/>
  </w:num>
  <w:num w:numId="4">
    <w:abstractNumId w:val="30"/>
  </w:num>
  <w:num w:numId="5">
    <w:abstractNumId w:val="33"/>
  </w:num>
  <w:num w:numId="6">
    <w:abstractNumId w:val="25"/>
  </w:num>
  <w:num w:numId="7">
    <w:abstractNumId w:val="8"/>
  </w:num>
  <w:num w:numId="8">
    <w:abstractNumId w:val="10"/>
  </w:num>
  <w:num w:numId="9">
    <w:abstractNumId w:val="12"/>
  </w:num>
  <w:num w:numId="10">
    <w:abstractNumId w:val="36"/>
  </w:num>
  <w:num w:numId="11">
    <w:abstractNumId w:val="32"/>
  </w:num>
  <w:num w:numId="12">
    <w:abstractNumId w:val="4"/>
  </w:num>
  <w:num w:numId="13">
    <w:abstractNumId w:val="17"/>
  </w:num>
  <w:num w:numId="14">
    <w:abstractNumId w:val="34"/>
  </w:num>
  <w:num w:numId="15">
    <w:abstractNumId w:val="1"/>
  </w:num>
  <w:num w:numId="16">
    <w:abstractNumId w:val="24"/>
  </w:num>
  <w:num w:numId="17">
    <w:abstractNumId w:val="20"/>
  </w:num>
  <w:num w:numId="18">
    <w:abstractNumId w:val="7"/>
  </w:num>
  <w:num w:numId="19">
    <w:abstractNumId w:val="38"/>
  </w:num>
  <w:num w:numId="20">
    <w:abstractNumId w:val="39"/>
  </w:num>
  <w:num w:numId="21">
    <w:abstractNumId w:val="31"/>
  </w:num>
  <w:num w:numId="22">
    <w:abstractNumId w:val="26"/>
  </w:num>
  <w:num w:numId="23">
    <w:abstractNumId w:val="0"/>
  </w:num>
  <w:num w:numId="24">
    <w:abstractNumId w:val="41"/>
  </w:num>
  <w:num w:numId="25">
    <w:abstractNumId w:val="28"/>
  </w:num>
  <w:num w:numId="26">
    <w:abstractNumId w:val="6"/>
  </w:num>
  <w:num w:numId="27">
    <w:abstractNumId w:val="27"/>
  </w:num>
  <w:num w:numId="28">
    <w:abstractNumId w:val="29"/>
  </w:num>
  <w:num w:numId="29">
    <w:abstractNumId w:val="3"/>
  </w:num>
  <w:num w:numId="30">
    <w:abstractNumId w:val="40"/>
  </w:num>
  <w:num w:numId="31">
    <w:abstractNumId w:val="2"/>
  </w:num>
  <w:num w:numId="32">
    <w:abstractNumId w:val="18"/>
  </w:num>
  <w:num w:numId="33">
    <w:abstractNumId w:val="11"/>
  </w:num>
  <w:num w:numId="34">
    <w:abstractNumId w:val="15"/>
  </w:num>
  <w:num w:numId="35">
    <w:abstractNumId w:val="22"/>
  </w:num>
  <w:num w:numId="36">
    <w:abstractNumId w:val="9"/>
  </w:num>
  <w:num w:numId="37">
    <w:abstractNumId w:val="13"/>
  </w:num>
  <w:num w:numId="38">
    <w:abstractNumId w:val="19"/>
  </w:num>
  <w:num w:numId="39">
    <w:abstractNumId w:val="16"/>
  </w:num>
  <w:num w:numId="40">
    <w:abstractNumId w:val="5"/>
  </w:num>
  <w:num w:numId="41">
    <w:abstractNumId w:val="2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97"/>
    <w:rsid w:val="000125F6"/>
    <w:rsid w:val="00025C2A"/>
    <w:rsid w:val="00050164"/>
    <w:rsid w:val="000526B8"/>
    <w:rsid w:val="000631EE"/>
    <w:rsid w:val="000A178B"/>
    <w:rsid w:val="000C2ADA"/>
    <w:rsid w:val="000D09A2"/>
    <w:rsid w:val="000F38B5"/>
    <w:rsid w:val="0013367F"/>
    <w:rsid w:val="00151340"/>
    <w:rsid w:val="001A67CD"/>
    <w:rsid w:val="001D62AE"/>
    <w:rsid w:val="001F2B15"/>
    <w:rsid w:val="00204253"/>
    <w:rsid w:val="00204F74"/>
    <w:rsid w:val="00261165"/>
    <w:rsid w:val="0026750B"/>
    <w:rsid w:val="00276D8A"/>
    <w:rsid w:val="003317AF"/>
    <w:rsid w:val="0036337A"/>
    <w:rsid w:val="0037468B"/>
    <w:rsid w:val="003B21E3"/>
    <w:rsid w:val="003B3E98"/>
    <w:rsid w:val="003F3341"/>
    <w:rsid w:val="004202FA"/>
    <w:rsid w:val="004219D8"/>
    <w:rsid w:val="004378EB"/>
    <w:rsid w:val="00445D26"/>
    <w:rsid w:val="004654D5"/>
    <w:rsid w:val="00485165"/>
    <w:rsid w:val="00524ACC"/>
    <w:rsid w:val="00524EB1"/>
    <w:rsid w:val="00550341"/>
    <w:rsid w:val="00565EEB"/>
    <w:rsid w:val="005755EF"/>
    <w:rsid w:val="00581AE4"/>
    <w:rsid w:val="005A24F1"/>
    <w:rsid w:val="005A41D4"/>
    <w:rsid w:val="005A4494"/>
    <w:rsid w:val="005B5BF1"/>
    <w:rsid w:val="005C6D81"/>
    <w:rsid w:val="00632F41"/>
    <w:rsid w:val="0065213A"/>
    <w:rsid w:val="00663A4B"/>
    <w:rsid w:val="006723DB"/>
    <w:rsid w:val="00675E87"/>
    <w:rsid w:val="006910C2"/>
    <w:rsid w:val="006B0801"/>
    <w:rsid w:val="006C075D"/>
    <w:rsid w:val="006D4857"/>
    <w:rsid w:val="006D578F"/>
    <w:rsid w:val="006D6CBB"/>
    <w:rsid w:val="006E5108"/>
    <w:rsid w:val="007C3EB0"/>
    <w:rsid w:val="007E12BC"/>
    <w:rsid w:val="00803132"/>
    <w:rsid w:val="00817147"/>
    <w:rsid w:val="00826C56"/>
    <w:rsid w:val="00833E4B"/>
    <w:rsid w:val="008352A7"/>
    <w:rsid w:val="008654C5"/>
    <w:rsid w:val="00866ECB"/>
    <w:rsid w:val="008676D2"/>
    <w:rsid w:val="008B3787"/>
    <w:rsid w:val="008C01BB"/>
    <w:rsid w:val="008C04A1"/>
    <w:rsid w:val="008E4351"/>
    <w:rsid w:val="00913337"/>
    <w:rsid w:val="009316A2"/>
    <w:rsid w:val="00936A5F"/>
    <w:rsid w:val="00951829"/>
    <w:rsid w:val="009B43D7"/>
    <w:rsid w:val="009B5171"/>
    <w:rsid w:val="009B66A7"/>
    <w:rsid w:val="009F2B4A"/>
    <w:rsid w:val="00A02411"/>
    <w:rsid w:val="00A073ED"/>
    <w:rsid w:val="00A31D24"/>
    <w:rsid w:val="00A41C66"/>
    <w:rsid w:val="00A75D94"/>
    <w:rsid w:val="00A85E57"/>
    <w:rsid w:val="00A9078E"/>
    <w:rsid w:val="00AD02B7"/>
    <w:rsid w:val="00AE7D98"/>
    <w:rsid w:val="00B350FA"/>
    <w:rsid w:val="00B35764"/>
    <w:rsid w:val="00B71AC1"/>
    <w:rsid w:val="00BC0479"/>
    <w:rsid w:val="00BC1A7B"/>
    <w:rsid w:val="00C05CEB"/>
    <w:rsid w:val="00C16BE5"/>
    <w:rsid w:val="00C257E7"/>
    <w:rsid w:val="00C51E95"/>
    <w:rsid w:val="00C638B2"/>
    <w:rsid w:val="00CB1C23"/>
    <w:rsid w:val="00CB796B"/>
    <w:rsid w:val="00CC391B"/>
    <w:rsid w:val="00DA4297"/>
    <w:rsid w:val="00DE6B53"/>
    <w:rsid w:val="00DF4BDB"/>
    <w:rsid w:val="00E1564F"/>
    <w:rsid w:val="00E30291"/>
    <w:rsid w:val="00E45A42"/>
    <w:rsid w:val="00E71573"/>
    <w:rsid w:val="00E9653F"/>
    <w:rsid w:val="00EB223E"/>
    <w:rsid w:val="00EB3BD9"/>
    <w:rsid w:val="00EF19FD"/>
    <w:rsid w:val="00F14D0C"/>
    <w:rsid w:val="00F8223F"/>
    <w:rsid w:val="00FE5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349FA6B-77B5-4889-A256-3A5BDA53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57"/>
  </w:style>
  <w:style w:type="paragraph" w:styleId="Ttulo1">
    <w:name w:val="heading 1"/>
    <w:basedOn w:val="Normal"/>
    <w:next w:val="Normal"/>
    <w:link w:val="Ttulo1Car"/>
    <w:uiPriority w:val="9"/>
    <w:qFormat/>
    <w:rsid w:val="00025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A4297"/>
    <w:pPr>
      <w:spacing w:after="0" w:line="240" w:lineRule="auto"/>
    </w:pPr>
    <w:rPr>
      <w:sz w:val="20"/>
      <w:szCs w:val="20"/>
    </w:rPr>
  </w:style>
  <w:style w:type="character" w:customStyle="1" w:styleId="TextonotapieCar">
    <w:name w:val="Texto nota pie Car"/>
    <w:basedOn w:val="Fuentedeprrafopredeter"/>
    <w:link w:val="Textonotapie"/>
    <w:uiPriority w:val="99"/>
    <w:rsid w:val="00DA429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A4297"/>
    <w:rPr>
      <w:vertAlign w:val="superscript"/>
    </w:rPr>
  </w:style>
  <w:style w:type="paragraph" w:styleId="Piedepgina">
    <w:name w:val="footer"/>
    <w:basedOn w:val="Normal"/>
    <w:link w:val="PiedepginaCar"/>
    <w:uiPriority w:val="99"/>
    <w:unhideWhenUsed/>
    <w:rsid w:val="00DA4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4297"/>
  </w:style>
  <w:style w:type="paragraph" w:styleId="Encabezado">
    <w:name w:val="header"/>
    <w:basedOn w:val="Normal"/>
    <w:link w:val="EncabezadoCar"/>
    <w:uiPriority w:val="99"/>
    <w:unhideWhenUsed/>
    <w:rsid w:val="00DA4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4297"/>
  </w:style>
  <w:style w:type="table" w:styleId="Tablaconcuadrcula">
    <w:name w:val="Table Grid"/>
    <w:basedOn w:val="Tablanormal"/>
    <w:uiPriority w:val="39"/>
    <w:rsid w:val="00DA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A4297"/>
    <w:rPr>
      <w:color w:val="0563C1" w:themeColor="hyperlink"/>
      <w:u w:val="single"/>
    </w:rPr>
  </w:style>
  <w:style w:type="table" w:styleId="Tablanormal1">
    <w:name w:val="Plain Table 1"/>
    <w:basedOn w:val="Tablanormal"/>
    <w:uiPriority w:val="41"/>
    <w:rsid w:val="00DA429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85E57"/>
    <w:pPr>
      <w:ind w:left="720"/>
      <w:contextualSpacing/>
    </w:pPr>
  </w:style>
  <w:style w:type="paragraph" w:customStyle="1" w:styleId="j">
    <w:name w:val="j"/>
    <w:basedOn w:val="Normal"/>
    <w:rsid w:val="00A85E5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A85E57"/>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025C2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025C2A"/>
    <w:pPr>
      <w:outlineLvl w:val="9"/>
    </w:pPr>
    <w:rPr>
      <w:lang w:eastAsia="es-MX"/>
    </w:rPr>
  </w:style>
  <w:style w:type="paragraph" w:styleId="ndice1">
    <w:name w:val="index 1"/>
    <w:basedOn w:val="Normal"/>
    <w:next w:val="Normal"/>
    <w:autoRedefine/>
    <w:uiPriority w:val="99"/>
    <w:semiHidden/>
    <w:unhideWhenUsed/>
    <w:rsid w:val="00025C2A"/>
    <w:pPr>
      <w:spacing w:after="0" w:line="240" w:lineRule="auto"/>
      <w:ind w:left="220" w:hanging="220"/>
    </w:pPr>
  </w:style>
  <w:style w:type="character" w:customStyle="1" w:styleId="Ttulo2Car">
    <w:name w:val="Título 2 Car"/>
    <w:basedOn w:val="Fuentedeprrafopredeter"/>
    <w:link w:val="Ttulo2"/>
    <w:uiPriority w:val="9"/>
    <w:rsid w:val="00025C2A"/>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E5108"/>
    <w:pPr>
      <w:tabs>
        <w:tab w:val="left" w:pos="880"/>
        <w:tab w:val="right" w:leader="dot" w:pos="8828"/>
      </w:tabs>
      <w:spacing w:after="100"/>
    </w:pPr>
  </w:style>
  <w:style w:type="paragraph" w:styleId="TDC1">
    <w:name w:val="toc 1"/>
    <w:basedOn w:val="Normal"/>
    <w:next w:val="Normal"/>
    <w:autoRedefine/>
    <w:uiPriority w:val="39"/>
    <w:unhideWhenUsed/>
    <w:rsid w:val="00E1564F"/>
    <w:pPr>
      <w:spacing w:after="100"/>
    </w:pPr>
    <w:rPr>
      <w:rFonts w:eastAsiaTheme="minorEastAsia" w:cs="Times New Roman"/>
      <w:lang w:eastAsia="es-MX"/>
    </w:rPr>
  </w:style>
  <w:style w:type="paragraph" w:styleId="TDC3">
    <w:name w:val="toc 3"/>
    <w:basedOn w:val="Normal"/>
    <w:next w:val="Normal"/>
    <w:autoRedefine/>
    <w:uiPriority w:val="39"/>
    <w:unhideWhenUsed/>
    <w:rsid w:val="00E1564F"/>
    <w:pPr>
      <w:spacing w:after="100"/>
      <w:ind w:left="440"/>
    </w:pPr>
    <w:rPr>
      <w:rFonts w:eastAsiaTheme="minorEastAsia" w:cs="Times New Roman"/>
      <w:lang w:eastAsia="es-MX"/>
    </w:rPr>
  </w:style>
  <w:style w:type="paragraph" w:styleId="Textodeglobo">
    <w:name w:val="Balloon Text"/>
    <w:basedOn w:val="Normal"/>
    <w:link w:val="TextodegloboCar"/>
    <w:uiPriority w:val="99"/>
    <w:semiHidden/>
    <w:unhideWhenUsed/>
    <w:rsid w:val="00E15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64F"/>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36453">
      <w:bodyDiv w:val="1"/>
      <w:marLeft w:val="0"/>
      <w:marRight w:val="0"/>
      <w:marTop w:val="0"/>
      <w:marBottom w:val="0"/>
      <w:divBdr>
        <w:top w:val="none" w:sz="0" w:space="0" w:color="auto"/>
        <w:left w:val="none" w:sz="0" w:space="0" w:color="auto"/>
        <w:bottom w:val="none" w:sz="0" w:space="0" w:color="auto"/>
        <w:right w:val="none" w:sz="0" w:space="0" w:color="auto"/>
      </w:divBdr>
    </w:div>
    <w:div w:id="19590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2052.page" TargetMode="External"/><Relationship Id="rId13" Type="http://schemas.openxmlformats.org/officeDocument/2006/relationships/hyperlink" Target="http://legislacion.edomex.gob.mx/sites/legislacion.edomex.gob.mx/files/files/pdf/gct/2016/nov283.pdf,%20en%20el%20art&#237;culo%2023" TargetMode="External"/><Relationship Id="rId18" Type="http://schemas.openxmlformats.org/officeDocument/2006/relationships/hyperlink" Target="https://es.wikipedia.org/wiki/Derechos_civiles_y_pol%C3%ADtico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islacion.edomex.gob.mx/sites/legislacion.edomex.gob.mx/files/files/pdf/gct/2017/dic157.pdf%20en%20el%20art&#237;culo%2023"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0821.pag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imex.org.mx/saimex/solicitud/downloadAttach/580822.page" TargetMode="External"/><Relationship Id="rId23" Type="http://schemas.openxmlformats.org/officeDocument/2006/relationships/header" Target="header3.xml"/><Relationship Id="rId10" Type="http://schemas.openxmlformats.org/officeDocument/2006/relationships/hyperlink" Target="https://www.saimex.org.mx/saimex/solicitud/downloadAttach/572080.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72079.page" TargetMode="External"/><Relationship Id="rId14" Type="http://schemas.openxmlformats.org/officeDocument/2006/relationships/hyperlink" Target="http://legislacion.edomex.gob.mx/sites/legislacion.edomex.gob.mx/files/files/pdf/gct/2015/nov193.PDF,%20en%20el%20art&#237;culo%20"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A997-E410-4F1C-AD5A-F14C28B8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3917</Words>
  <Characters>21547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6</cp:revision>
  <cp:lastPrinted>2018-12-10T19:55:00Z</cp:lastPrinted>
  <dcterms:created xsi:type="dcterms:W3CDTF">2018-11-05T22:43:00Z</dcterms:created>
  <dcterms:modified xsi:type="dcterms:W3CDTF">2018-12-18T02:20:00Z</dcterms:modified>
</cp:coreProperties>
</file>